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1FDAC03A"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571279">
        <w:rPr>
          <w:bCs/>
          <w:noProof w:val="0"/>
          <w:sz w:val="24"/>
          <w:szCs w:val="24"/>
        </w:rPr>
        <w:t>2</w:t>
      </w:r>
      <w:r w:rsidR="00244A05">
        <w:rPr>
          <w:bCs/>
          <w:noProof w:val="0"/>
          <w:sz w:val="24"/>
          <w:szCs w:val="24"/>
        </w:rPr>
        <w:t xml:space="preserve">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3D4169">
        <w:rPr>
          <w:bCs/>
          <w:noProof w:val="0"/>
          <w:sz w:val="24"/>
          <w:szCs w:val="24"/>
        </w:rPr>
        <w:t>2009757</w:t>
      </w:r>
    </w:p>
    <w:p w14:paraId="11776FA6" w14:textId="640722DB" w:rsidR="00A209D6" w:rsidRPr="00465587" w:rsidRDefault="009928A9" w:rsidP="00A209D6">
      <w:pPr>
        <w:pStyle w:val="Header"/>
        <w:tabs>
          <w:tab w:val="right" w:pos="9639"/>
        </w:tabs>
        <w:rPr>
          <w:rFonts w:eastAsia="SimSun"/>
          <w:bCs/>
          <w:sz w:val="24"/>
          <w:szCs w:val="24"/>
          <w:lang w:eastAsia="zh-CN"/>
        </w:rPr>
      </w:pPr>
      <w:r>
        <w:rPr>
          <w:rFonts w:eastAsia="SimSun"/>
          <w:bCs/>
          <w:sz w:val="24"/>
          <w:szCs w:val="24"/>
          <w:lang w:eastAsia="zh-CN"/>
        </w:rPr>
        <w:t>Elbonia</w:t>
      </w:r>
      <w:r w:rsidR="006574C0" w:rsidRPr="006574C0">
        <w:rPr>
          <w:rFonts w:eastAsia="SimSun"/>
          <w:bCs/>
          <w:sz w:val="24"/>
          <w:szCs w:val="24"/>
          <w:lang w:eastAsia="zh-CN"/>
        </w:rPr>
        <w:t xml:space="preserve">, </w:t>
      </w:r>
      <w:r w:rsidR="00696821">
        <w:rPr>
          <w:rFonts w:eastAsia="SimSun"/>
          <w:bCs/>
          <w:sz w:val="24"/>
          <w:szCs w:val="24"/>
          <w:lang w:eastAsia="zh-CN"/>
        </w:rPr>
        <w:t>02</w:t>
      </w:r>
      <w:r w:rsidR="006574C0" w:rsidRPr="006574C0">
        <w:rPr>
          <w:rFonts w:eastAsia="SimSun"/>
          <w:bCs/>
          <w:sz w:val="24"/>
          <w:szCs w:val="24"/>
          <w:lang w:eastAsia="zh-CN"/>
        </w:rPr>
        <w:t xml:space="preserve"> – </w:t>
      </w:r>
      <w:r w:rsidR="00696821">
        <w:rPr>
          <w:rFonts w:eastAsia="SimSun"/>
          <w:bCs/>
          <w:sz w:val="24"/>
          <w:szCs w:val="24"/>
          <w:lang w:eastAsia="zh-CN"/>
        </w:rPr>
        <w:t>13</w:t>
      </w:r>
      <w:r w:rsidR="006574C0" w:rsidRPr="006574C0">
        <w:rPr>
          <w:rFonts w:eastAsia="SimSun"/>
          <w:bCs/>
          <w:sz w:val="24"/>
          <w:szCs w:val="24"/>
          <w:lang w:eastAsia="zh-CN"/>
        </w:rPr>
        <w:t xml:space="preserve"> </w:t>
      </w:r>
      <w:r w:rsidR="00696821">
        <w:rPr>
          <w:rFonts w:eastAsia="SimSun"/>
          <w:bCs/>
          <w:sz w:val="24"/>
          <w:szCs w:val="24"/>
          <w:lang w:eastAsia="zh-CN"/>
        </w:rPr>
        <w:t>November</w:t>
      </w:r>
      <w:r w:rsidR="006574C0" w:rsidRPr="006574C0">
        <w:rPr>
          <w:rFonts w:eastAsia="SimSun"/>
          <w:bCs/>
          <w:sz w:val="24"/>
          <w:szCs w:val="24"/>
          <w:lang w:eastAsia="zh-CN"/>
        </w:rPr>
        <w:t xml:space="preserve"> 20</w:t>
      </w:r>
      <w:r w:rsidR="009376CD">
        <w:rPr>
          <w:rFonts w:eastAsia="SimSun"/>
          <w:bCs/>
          <w:sz w:val="24"/>
          <w:szCs w:val="24"/>
          <w:lang w:eastAsia="zh-CN"/>
        </w:rPr>
        <w:t>20</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7F078605"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540FE9" w:rsidRPr="00D16E46">
        <w:rPr>
          <w:rFonts w:cs="Arial"/>
          <w:b/>
          <w:bCs/>
          <w:sz w:val="24"/>
        </w:rPr>
        <w:t>8.5.2</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79485129"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6D51E2" w:rsidRPr="00D16E46">
        <w:rPr>
          <w:rFonts w:ascii="Arial" w:hAnsi="Arial" w:cs="Arial"/>
          <w:b/>
          <w:bCs/>
          <w:sz w:val="24"/>
        </w:rPr>
        <w:t xml:space="preserve">Discussion on propagation delay compensation </w:t>
      </w:r>
      <w:r w:rsidR="0078786A" w:rsidRPr="00D16E46">
        <w:rPr>
          <w:rFonts w:ascii="Arial" w:hAnsi="Arial" w:cs="Arial"/>
          <w:b/>
          <w:bCs/>
          <w:sz w:val="24"/>
        </w:rPr>
        <w:t>mechanisms</w:t>
      </w:r>
    </w:p>
    <w:p w14:paraId="1F147C23" w14:textId="1DBDB3AD" w:rsidR="00A209D6" w:rsidRPr="006D51E2" w:rsidRDefault="00A209D6" w:rsidP="00A209D6">
      <w:pPr>
        <w:ind w:left="1985" w:hanging="1985"/>
        <w:rPr>
          <w:rFonts w:ascii="Arial" w:hAnsi="Arial" w:cs="Arial"/>
          <w:b/>
          <w:bCs/>
          <w:sz w:val="24"/>
          <w:lang w:val="da-DK"/>
        </w:rPr>
      </w:pPr>
      <w:r w:rsidRPr="006D51E2">
        <w:rPr>
          <w:rFonts w:ascii="Arial" w:hAnsi="Arial" w:cs="Arial"/>
          <w:b/>
          <w:bCs/>
          <w:sz w:val="24"/>
          <w:lang w:val="da-DK"/>
        </w:rPr>
        <w:t>WID/SID:</w:t>
      </w:r>
      <w:r w:rsidRPr="006D51E2">
        <w:rPr>
          <w:rFonts w:ascii="Arial" w:hAnsi="Arial" w:cs="Arial"/>
          <w:b/>
          <w:bCs/>
          <w:sz w:val="24"/>
          <w:lang w:val="da-DK"/>
        </w:rPr>
        <w:tab/>
      </w:r>
      <w:r w:rsidR="003507AD" w:rsidRPr="006D51E2">
        <w:rPr>
          <w:rFonts w:ascii="Arial" w:hAnsi="Arial" w:cs="Arial"/>
          <w:b/>
          <w:bCs/>
          <w:sz w:val="24"/>
          <w:szCs w:val="24"/>
          <w:lang w:val="da-DK"/>
        </w:rPr>
        <w:t>NR_IIOT_URLLC_enh</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1C74E8EC" w14:textId="66ADE719" w:rsidR="00325B86" w:rsidRDefault="00325B86" w:rsidP="00325B86">
      <w:pPr>
        <w:jc w:val="both"/>
      </w:pPr>
      <w:r>
        <w:t xml:space="preserve">The revised IIoT / URLLC work item description for Rel-17 </w:t>
      </w:r>
      <w:r w:rsidR="00B5537B">
        <w:t xml:space="preserve">in </w:t>
      </w:r>
      <w:r w:rsidR="00B5537B" w:rsidRPr="00364881">
        <w:t>RP-201310</w:t>
      </w:r>
      <w:r w:rsidR="00B5537B" w:rsidDel="00B5537B">
        <w:t xml:space="preserve"> </w:t>
      </w:r>
      <w:r>
        <w:t>has enhancements for time synchronization as one of its main objectives:</w:t>
      </w:r>
    </w:p>
    <w:tbl>
      <w:tblPr>
        <w:tblStyle w:val="TableGrid"/>
        <w:tblW w:w="0" w:type="auto"/>
        <w:tblLook w:val="04A0" w:firstRow="1" w:lastRow="0" w:firstColumn="1" w:lastColumn="0" w:noHBand="0" w:noVBand="1"/>
      </w:tblPr>
      <w:tblGrid>
        <w:gridCol w:w="9629"/>
      </w:tblGrid>
      <w:tr w:rsidR="00325B86" w14:paraId="0B572B51" w14:textId="77777777" w:rsidTr="00934701">
        <w:tc>
          <w:tcPr>
            <w:tcW w:w="9629" w:type="dxa"/>
          </w:tcPr>
          <w:p w14:paraId="4C1865A6" w14:textId="77777777" w:rsidR="00325B86" w:rsidRDefault="00325B86" w:rsidP="00934701">
            <w:pPr>
              <w:numPr>
                <w:ilvl w:val="0"/>
                <w:numId w:val="9"/>
              </w:numPr>
              <w:overflowPunct w:val="0"/>
              <w:autoSpaceDE w:val="0"/>
              <w:autoSpaceDN w:val="0"/>
              <w:adjustRightInd w:val="0"/>
              <w:spacing w:after="0"/>
              <w:textAlignment w:val="baseline"/>
              <w:rPr>
                <w:bCs/>
              </w:rPr>
            </w:pPr>
            <w:r>
              <w:rPr>
                <w:bCs/>
              </w:rPr>
              <w:t>Enhancements for support of time synchronization:</w:t>
            </w:r>
          </w:p>
          <w:p w14:paraId="5F0068D2" w14:textId="77777777" w:rsidR="00325B86" w:rsidRDefault="00325B86" w:rsidP="00934701">
            <w:pPr>
              <w:numPr>
                <w:ilvl w:val="0"/>
                <w:numId w:val="8"/>
              </w:numPr>
              <w:overflowPunct w:val="0"/>
              <w:autoSpaceDE w:val="0"/>
              <w:autoSpaceDN w:val="0"/>
              <w:adjustRightInd w:val="0"/>
              <w:spacing w:after="0"/>
              <w:textAlignment w:val="baseline"/>
              <w:rPr>
                <w:bCs/>
              </w:rPr>
            </w:pPr>
            <w:r>
              <w:t>RAN impacts of SA2 work on uplink time synchronization for TSN, if any.</w:t>
            </w:r>
            <w:r>
              <w:rPr>
                <w:bCs/>
              </w:rPr>
              <w:t xml:space="preserve"> [RAN2]</w:t>
            </w:r>
          </w:p>
          <w:p w14:paraId="2DC22020" w14:textId="77777777" w:rsidR="00325B86" w:rsidRPr="006D7B6E" w:rsidRDefault="00325B86" w:rsidP="00934701">
            <w:pPr>
              <w:numPr>
                <w:ilvl w:val="0"/>
                <w:numId w:val="8"/>
              </w:numPr>
              <w:overflowPunct w:val="0"/>
              <w:autoSpaceDE w:val="0"/>
              <w:autoSpaceDN w:val="0"/>
              <w:adjustRightInd w:val="0"/>
              <w:spacing w:after="0"/>
              <w:textAlignment w:val="baseline"/>
              <w:rPr>
                <w:bCs/>
              </w:rPr>
            </w:pPr>
            <w:r w:rsidRPr="00D82787">
              <w:rPr>
                <w:bCs/>
              </w:rPr>
              <w:t>Propagation delay compensation enhancements</w:t>
            </w:r>
            <w:r>
              <w:rPr>
                <w:bCs/>
              </w:rPr>
              <w:t xml:space="preserve"> (including mobility issues, if any). [RAN2, RAN1, RAN3, RAN4]</w:t>
            </w:r>
          </w:p>
        </w:tc>
      </w:tr>
    </w:tbl>
    <w:p w14:paraId="146899A4" w14:textId="77777777" w:rsidR="00325B86" w:rsidRDefault="00325B86" w:rsidP="00325B86">
      <w:pPr>
        <w:spacing w:after="0"/>
        <w:jc w:val="both"/>
      </w:pPr>
    </w:p>
    <w:p w14:paraId="7C6D9676" w14:textId="35FBCA60" w:rsidR="00325B86" w:rsidRPr="00E31695" w:rsidRDefault="00325B86" w:rsidP="00325B86">
      <w:pPr>
        <w:spacing w:after="0"/>
        <w:jc w:val="both"/>
      </w:pPr>
      <w:r>
        <w:t xml:space="preserve">RAN2 has received an LS from RAN1 in R1-2007446 and RAN2 has conducted an email discussion on the topic to determine a Uu interface time synchronization accuracy budget. The summary of the email discussion can be found in </w:t>
      </w:r>
      <w:r w:rsidR="00103EC6">
        <w:t>[1]</w:t>
      </w:r>
      <w:r>
        <w:t xml:space="preserve"> and the draft LS reply to RAN1 can be found in </w:t>
      </w:r>
      <w:r w:rsidR="00103EC6">
        <w:t>[2]</w:t>
      </w:r>
      <w:r w:rsidRPr="00E31695">
        <w:t>.</w:t>
      </w:r>
      <w:r>
        <w:t xml:space="preserve"> </w:t>
      </w:r>
      <w:r w:rsidR="00145948">
        <w:t>According to [1], it is clear RAN2 needs to further study mechanisms for UE-side propagation delay compensation activation/deactivation</w:t>
      </w:r>
      <w:r>
        <w:t>:</w:t>
      </w:r>
    </w:p>
    <w:p w14:paraId="13323829" w14:textId="77777777" w:rsidR="00325B86" w:rsidRDefault="00325B86" w:rsidP="00325B86">
      <w:pPr>
        <w:spacing w:after="0"/>
        <w:rPr>
          <w:b/>
          <w:i/>
          <w:color w:val="C00000"/>
        </w:rPr>
      </w:pPr>
    </w:p>
    <w:tbl>
      <w:tblPr>
        <w:tblStyle w:val="TableGrid"/>
        <w:tblW w:w="0" w:type="auto"/>
        <w:tblInd w:w="720" w:type="dxa"/>
        <w:tblLook w:val="04A0" w:firstRow="1" w:lastRow="0" w:firstColumn="1" w:lastColumn="0" w:noHBand="0" w:noVBand="1"/>
      </w:tblPr>
      <w:tblGrid>
        <w:gridCol w:w="8911"/>
      </w:tblGrid>
      <w:tr w:rsidR="00325B86" w:rsidRPr="00667259" w14:paraId="11E46C32" w14:textId="77777777" w:rsidTr="00934701">
        <w:tc>
          <w:tcPr>
            <w:tcW w:w="9631" w:type="dxa"/>
          </w:tcPr>
          <w:p w14:paraId="08A14A26" w14:textId="77777777" w:rsidR="00325B86" w:rsidRPr="00667259" w:rsidRDefault="00325B86" w:rsidP="00934701">
            <w:pPr>
              <w:spacing w:after="0"/>
              <w:rPr>
                <w:b/>
                <w:i/>
                <w:color w:val="171717" w:themeColor="background2" w:themeShade="1A"/>
              </w:rPr>
            </w:pPr>
            <w:r w:rsidRPr="00667259">
              <w:rPr>
                <w:b/>
                <w:i/>
                <w:color w:val="171717" w:themeColor="background2" w:themeShade="1A"/>
              </w:rPr>
              <w:t>Proposal 12: RAN2 should further study how to activate/deactivate UE side propagation delay compensation</w:t>
            </w:r>
          </w:p>
          <w:p w14:paraId="2EA651B2" w14:textId="77777777" w:rsidR="00325B86" w:rsidRPr="00667259" w:rsidRDefault="00325B86" w:rsidP="00577BDA">
            <w:pPr>
              <w:pStyle w:val="ListParagraph"/>
              <w:numPr>
                <w:ilvl w:val="0"/>
                <w:numId w:val="14"/>
              </w:numPr>
              <w:spacing w:line="259" w:lineRule="auto"/>
              <w:rPr>
                <w:rFonts w:ascii="Times New Roman" w:eastAsia="Batang" w:hAnsi="Times New Roman" w:cs="Times New Roman"/>
                <w:b/>
                <w:i/>
                <w:color w:val="171717" w:themeColor="background2" w:themeShade="1A"/>
                <w:sz w:val="20"/>
                <w:szCs w:val="20"/>
                <w:lang w:val="en-GB"/>
              </w:rPr>
            </w:pPr>
            <w:r w:rsidRPr="00667259">
              <w:rPr>
                <w:rFonts w:ascii="Times New Roman" w:eastAsia="Batang" w:hAnsi="Times New Roman" w:cs="Times New Roman"/>
                <w:b/>
                <w:i/>
                <w:color w:val="171717" w:themeColor="background2" w:themeShade="1A"/>
                <w:sz w:val="20"/>
                <w:szCs w:val="20"/>
                <w:lang w:val="en-GB"/>
              </w:rPr>
              <w:t>FFS whether the signalling can be explicit or implicit</w:t>
            </w:r>
          </w:p>
          <w:p w14:paraId="3D98F4DA" w14:textId="77777777" w:rsidR="00325B86" w:rsidRPr="00667259" w:rsidRDefault="00325B86" w:rsidP="00577BDA">
            <w:pPr>
              <w:pStyle w:val="ListParagraph"/>
              <w:numPr>
                <w:ilvl w:val="0"/>
                <w:numId w:val="14"/>
              </w:numPr>
              <w:spacing w:line="259" w:lineRule="auto"/>
              <w:rPr>
                <w:rFonts w:ascii="Times New Roman" w:eastAsia="Batang" w:hAnsi="Times New Roman" w:cs="Times New Roman"/>
                <w:b/>
                <w:i/>
                <w:color w:val="171717" w:themeColor="background2" w:themeShade="1A"/>
                <w:sz w:val="20"/>
                <w:szCs w:val="20"/>
                <w:lang w:val="en-GB"/>
              </w:rPr>
            </w:pPr>
            <w:r w:rsidRPr="00667259">
              <w:rPr>
                <w:rFonts w:ascii="Times New Roman" w:eastAsia="Batang" w:hAnsi="Times New Roman" w:cs="Times New Roman"/>
                <w:b/>
                <w:i/>
                <w:color w:val="171717" w:themeColor="background2" w:themeShade="1A"/>
                <w:sz w:val="20"/>
                <w:szCs w:val="20"/>
                <w:lang w:val="en-GB"/>
              </w:rPr>
              <w:t>FFS whether both unicast and broadcast options should be supported</w:t>
            </w:r>
          </w:p>
          <w:p w14:paraId="2FF62B35" w14:textId="77777777" w:rsidR="00325B86" w:rsidRPr="00667259" w:rsidRDefault="00325B86" w:rsidP="00934701">
            <w:pPr>
              <w:pStyle w:val="ListParagraph"/>
              <w:numPr>
                <w:ilvl w:val="0"/>
                <w:numId w:val="14"/>
              </w:numPr>
              <w:spacing w:line="259" w:lineRule="auto"/>
              <w:rPr>
                <w:rFonts w:ascii="Times New Roman" w:eastAsia="Batang" w:hAnsi="Times New Roman" w:cs="Times New Roman"/>
                <w:b/>
                <w:i/>
                <w:color w:val="171717" w:themeColor="background2" w:themeShade="1A"/>
                <w:sz w:val="20"/>
                <w:szCs w:val="20"/>
                <w:lang w:val="en-GB"/>
              </w:rPr>
            </w:pPr>
            <w:r w:rsidRPr="00667259">
              <w:rPr>
                <w:rFonts w:ascii="Times New Roman" w:eastAsia="Batang" w:hAnsi="Times New Roman" w:cs="Times New Roman"/>
                <w:b/>
                <w:i/>
                <w:color w:val="171717" w:themeColor="background2" w:themeShade="1A"/>
                <w:sz w:val="20"/>
                <w:szCs w:val="20"/>
                <w:lang w:val="en-GB"/>
              </w:rPr>
              <w:t>FFS whether a UE assisted propagation delay indication should be supported</w:t>
            </w:r>
          </w:p>
        </w:tc>
      </w:tr>
    </w:tbl>
    <w:p w14:paraId="031768C6" w14:textId="77777777" w:rsidR="00325B86" w:rsidRPr="00667259" w:rsidRDefault="00325B86" w:rsidP="00325B86">
      <w:pPr>
        <w:pStyle w:val="ListParagraph"/>
        <w:spacing w:line="259" w:lineRule="auto"/>
        <w:rPr>
          <w:rFonts w:ascii="Times New Roman" w:eastAsia="Batang" w:hAnsi="Times New Roman" w:cs="Times New Roman"/>
          <w:b/>
          <w:i/>
          <w:color w:val="C00000"/>
          <w:sz w:val="20"/>
          <w:szCs w:val="20"/>
          <w:lang w:val="en-GB"/>
        </w:rPr>
      </w:pPr>
    </w:p>
    <w:p w14:paraId="341B26A8" w14:textId="5F8DE50F" w:rsidR="00325B86" w:rsidRPr="00E31695" w:rsidRDefault="00145948" w:rsidP="00325B86">
      <w:pPr>
        <w:jc w:val="both"/>
      </w:pPr>
      <w:r>
        <w:t>Moreover, this is also questionable</w:t>
      </w:r>
      <w:r w:rsidR="00325B86">
        <w:t xml:space="preserve"> w</w:t>
      </w:r>
      <w:r w:rsidR="00325B86" w:rsidRPr="00E54AA0">
        <w:t xml:space="preserve">hether propagation delay compensation should be </w:t>
      </w:r>
      <w:r w:rsidR="00325B86" w:rsidRPr="00A22BDD">
        <w:t>semi-static</w:t>
      </w:r>
      <w:r w:rsidR="00325B86" w:rsidRPr="007608A8">
        <w:t>ally</w:t>
      </w:r>
      <w:r w:rsidR="00325B86" w:rsidRPr="00D205E1">
        <w:t xml:space="preserve"> or dynamically configured.</w:t>
      </w:r>
      <w:r w:rsidR="00325B86">
        <w:t xml:space="preserve"> </w:t>
      </w:r>
      <w:r>
        <w:t>This paper address the issues mentioned above.</w:t>
      </w:r>
      <w:bookmarkStart w:id="0" w:name="_GoBack"/>
      <w:bookmarkEnd w:id="0"/>
    </w:p>
    <w:p w14:paraId="766D6D29" w14:textId="758471D2" w:rsidR="00A209D6" w:rsidRPr="006E13D1" w:rsidRDefault="00453373" w:rsidP="00A209D6">
      <w:pPr>
        <w:pStyle w:val="Heading1"/>
      </w:pPr>
      <w:r>
        <w:t>2</w:t>
      </w:r>
      <w:r w:rsidR="00A209D6" w:rsidRPr="006E13D1">
        <w:tab/>
      </w:r>
      <w:r w:rsidR="00EA295E">
        <w:t>Discussion</w:t>
      </w:r>
    </w:p>
    <w:p w14:paraId="19CC3C89" w14:textId="77777777" w:rsidR="00414977" w:rsidRDefault="00FF2F37" w:rsidP="00414977">
      <w:pPr>
        <w:jc w:val="both"/>
      </w:pPr>
      <w:r>
        <w:t>The</w:t>
      </w:r>
      <w:r w:rsidR="002756DC">
        <w:t xml:space="preserve"> email discussion </w:t>
      </w:r>
      <w:r>
        <w:t xml:space="preserve">visits </w:t>
      </w:r>
      <w:r w:rsidR="002756DC">
        <w:t>several options o</w:t>
      </w:r>
      <w:r>
        <w:t xml:space="preserve">n </w:t>
      </w:r>
      <w:r w:rsidR="002756DC">
        <w:t>indicat</w:t>
      </w:r>
      <w:r>
        <w:t>ions to instruct</w:t>
      </w:r>
      <w:r w:rsidR="002756DC">
        <w:t xml:space="preserve"> the UE whe</w:t>
      </w:r>
      <w:r>
        <w:t xml:space="preserve">ther </w:t>
      </w:r>
      <w:r w:rsidR="002756DC">
        <w:t xml:space="preserve">PDC </w:t>
      </w:r>
      <w:r>
        <w:t>should be conducted</w:t>
      </w:r>
      <w:r w:rsidR="002756DC">
        <w:t xml:space="preserve">. The intention is </w:t>
      </w:r>
      <w:r w:rsidR="00C42A6E">
        <w:t xml:space="preserve">to </w:t>
      </w:r>
      <w:r>
        <w:t>provide assurance from gNB perspective that</w:t>
      </w:r>
      <w:r w:rsidR="008C348F">
        <w:t xml:space="preserve"> the PDC </w:t>
      </w:r>
      <w:r>
        <w:t>can be</w:t>
      </w:r>
      <w:r w:rsidR="008C348F">
        <w:t xml:space="preserve"> </w:t>
      </w:r>
      <w:r>
        <w:t>applied timely to fulfil</w:t>
      </w:r>
      <w:r w:rsidR="008C348F">
        <w:t xml:space="preserve"> the 5GS accuracy requirement, and that the propagation delay will not be (fully) compensated by both the network and the UE.</w:t>
      </w:r>
      <w:r>
        <w:t xml:space="preserve"> We have identified the following options</w:t>
      </w:r>
      <w:r w:rsidR="00A9497F">
        <w:t xml:space="preserve"> in the email discussion</w:t>
      </w:r>
      <w:r>
        <w:t>:</w:t>
      </w:r>
    </w:p>
    <w:tbl>
      <w:tblPr>
        <w:tblStyle w:val="TableGrid"/>
        <w:tblW w:w="0" w:type="auto"/>
        <w:tblLook w:val="04A0" w:firstRow="1" w:lastRow="0" w:firstColumn="1" w:lastColumn="0" w:noHBand="0" w:noVBand="1"/>
      </w:tblPr>
      <w:tblGrid>
        <w:gridCol w:w="9631"/>
      </w:tblGrid>
      <w:tr w:rsidR="00414977" w14:paraId="4F73A26E" w14:textId="77777777" w:rsidTr="00E45F95">
        <w:tc>
          <w:tcPr>
            <w:tcW w:w="9631" w:type="dxa"/>
          </w:tcPr>
          <w:p w14:paraId="4B3B01ED" w14:textId="77777777" w:rsidR="00414977" w:rsidRPr="00667259" w:rsidRDefault="00414977" w:rsidP="00E45F95">
            <w:pPr>
              <w:pStyle w:val="ListParagraph"/>
              <w:numPr>
                <w:ilvl w:val="0"/>
                <w:numId w:val="15"/>
              </w:numPr>
              <w:jc w:val="both"/>
              <w:rPr>
                <w:rFonts w:ascii="Times New Roman" w:hAnsi="Times New Roman" w:cs="Times New Roman"/>
                <w:sz w:val="20"/>
                <w:szCs w:val="20"/>
                <w:lang w:val="en-US"/>
              </w:rPr>
            </w:pPr>
            <w:r w:rsidRPr="00667259">
              <w:rPr>
                <w:rFonts w:ascii="Times New Roman" w:hAnsi="Times New Roman" w:cs="Times New Roman"/>
                <w:sz w:val="20"/>
                <w:szCs w:val="20"/>
                <w:lang w:val="en-US"/>
              </w:rPr>
              <w:t>Option 1: The gNB indicates to the UE whether it has done pre-compensation ([2], [10])</w:t>
            </w:r>
          </w:p>
          <w:p w14:paraId="31C5B6BE" w14:textId="77777777" w:rsidR="00414977" w:rsidRPr="00667259" w:rsidRDefault="00414977" w:rsidP="00E45F95">
            <w:pPr>
              <w:pStyle w:val="ListParagraph"/>
              <w:numPr>
                <w:ilvl w:val="0"/>
                <w:numId w:val="15"/>
              </w:numPr>
              <w:jc w:val="both"/>
              <w:rPr>
                <w:rFonts w:ascii="Times New Roman" w:hAnsi="Times New Roman" w:cs="Times New Roman"/>
                <w:sz w:val="20"/>
                <w:szCs w:val="20"/>
                <w:lang w:val="en-US"/>
              </w:rPr>
            </w:pPr>
            <w:r w:rsidRPr="00667259">
              <w:rPr>
                <w:rFonts w:ascii="Times New Roman" w:hAnsi="Times New Roman" w:cs="Times New Roman"/>
                <w:sz w:val="20"/>
                <w:szCs w:val="20"/>
                <w:lang w:val="en-US"/>
              </w:rPr>
              <w:t>Option 2: The gNB enables/disables UE-side PDC via an indication in unicast-RRC signal ([3])</w:t>
            </w:r>
          </w:p>
          <w:p w14:paraId="0900621B" w14:textId="77777777" w:rsidR="00414977" w:rsidRPr="00667259" w:rsidRDefault="00414977" w:rsidP="00E45F95">
            <w:pPr>
              <w:pStyle w:val="ListParagraph"/>
              <w:numPr>
                <w:ilvl w:val="0"/>
                <w:numId w:val="15"/>
              </w:numPr>
              <w:jc w:val="both"/>
              <w:rPr>
                <w:rFonts w:ascii="Times New Roman" w:hAnsi="Times New Roman" w:cs="Times New Roman"/>
                <w:sz w:val="20"/>
                <w:szCs w:val="20"/>
                <w:lang w:val="en-US"/>
              </w:rPr>
            </w:pPr>
            <w:r w:rsidRPr="00667259">
              <w:rPr>
                <w:rFonts w:ascii="Times New Roman" w:hAnsi="Times New Roman" w:cs="Times New Roman"/>
                <w:sz w:val="20"/>
                <w:szCs w:val="20"/>
                <w:lang w:val="en-US"/>
              </w:rPr>
              <w:t>Option 3: The gNB enables/disables UE-side PDC via an indication in SIB ([8])</w:t>
            </w:r>
          </w:p>
          <w:p w14:paraId="6EC0596F" w14:textId="77777777" w:rsidR="00414977" w:rsidRPr="00667259" w:rsidRDefault="00414977" w:rsidP="00E45F95">
            <w:pPr>
              <w:pStyle w:val="ListParagraph"/>
              <w:numPr>
                <w:ilvl w:val="0"/>
                <w:numId w:val="15"/>
              </w:numPr>
              <w:jc w:val="both"/>
              <w:rPr>
                <w:rFonts w:ascii="Times New Roman" w:hAnsi="Times New Roman" w:cs="Times New Roman"/>
                <w:sz w:val="20"/>
                <w:szCs w:val="20"/>
                <w:lang w:val="en-US"/>
              </w:rPr>
            </w:pPr>
            <w:r w:rsidRPr="00667259">
              <w:rPr>
                <w:rFonts w:ascii="Times New Roman" w:hAnsi="Times New Roman" w:cs="Times New Roman"/>
                <w:sz w:val="20"/>
                <w:szCs w:val="20"/>
                <w:lang w:val="en-US"/>
              </w:rPr>
              <w:t>Option 4: The gNB configures the UE with a PD threshold. The UE conducts PD compensation when the PD estimation is above the PD threshold ([12])</w:t>
            </w:r>
          </w:p>
          <w:p w14:paraId="6433D6EE" w14:textId="77777777" w:rsidR="00414977" w:rsidRPr="00667259" w:rsidRDefault="00414977" w:rsidP="00E45F95">
            <w:pPr>
              <w:pStyle w:val="ListParagraph"/>
              <w:numPr>
                <w:ilvl w:val="0"/>
                <w:numId w:val="15"/>
              </w:numPr>
              <w:jc w:val="both"/>
              <w:rPr>
                <w:rFonts w:ascii="Times New Roman" w:hAnsi="Times New Roman" w:cs="Times New Roman"/>
                <w:sz w:val="20"/>
                <w:szCs w:val="20"/>
                <w:lang w:val="en-US"/>
              </w:rPr>
            </w:pPr>
            <w:r w:rsidRPr="00667259">
              <w:rPr>
                <w:rFonts w:ascii="Times New Roman" w:hAnsi="Times New Roman" w:cs="Times New Roman"/>
                <w:sz w:val="20"/>
                <w:szCs w:val="20"/>
                <w:lang w:val="en-US"/>
              </w:rPr>
              <w:t>Option 5: The UE requests a PD estimation update ([16])</w:t>
            </w:r>
          </w:p>
          <w:p w14:paraId="33C95FF9" w14:textId="77777777" w:rsidR="00414977" w:rsidRPr="00667259" w:rsidRDefault="00414977" w:rsidP="00E45F95">
            <w:pPr>
              <w:pStyle w:val="ListParagraph"/>
              <w:numPr>
                <w:ilvl w:val="0"/>
                <w:numId w:val="15"/>
              </w:numPr>
              <w:jc w:val="both"/>
              <w:rPr>
                <w:rFonts w:ascii="Times New Roman" w:hAnsi="Times New Roman" w:cs="Times New Roman"/>
                <w:sz w:val="20"/>
                <w:szCs w:val="20"/>
                <w:lang w:val="en-US"/>
              </w:rPr>
            </w:pPr>
            <w:r w:rsidRPr="00667259">
              <w:rPr>
                <w:rFonts w:ascii="Times New Roman" w:hAnsi="Times New Roman" w:cs="Times New Roman"/>
                <w:sz w:val="20"/>
                <w:szCs w:val="20"/>
                <w:lang w:val="en-US"/>
              </w:rPr>
              <w:t>Option 6: Others</w:t>
            </w:r>
          </w:p>
        </w:tc>
      </w:tr>
    </w:tbl>
    <w:p w14:paraId="222B4109" w14:textId="77777777" w:rsidR="00414977" w:rsidRDefault="00414977" w:rsidP="00414977">
      <w:pPr>
        <w:jc w:val="both"/>
      </w:pPr>
    </w:p>
    <w:p w14:paraId="706ABF66" w14:textId="77777777" w:rsidR="00414977" w:rsidRDefault="00414977" w:rsidP="00414977">
      <w:pPr>
        <w:jc w:val="both"/>
      </w:pPr>
      <w:r>
        <w:t xml:space="preserve">Option 1 to 4 allow the UE to determine if PDC should be undertaken (based on explicit indication from the gNB, or triggered by certain event). When the UE is configured not to do PDC, most likely the gNB has decided that PDC does not improve the accuracy or the gNB has already carried out pre-compensation. The indications of Option 2 and 3 are basically the same, although they are carried by a unicast message, or as a broadcast message, respectively. The benefit </w:t>
      </w:r>
      <w:r>
        <w:lastRenderedPageBreak/>
        <w:t>of a unicast indication is quite clear, as the gNB is able to configure UEs individually, and the gNB does not have to trigger PDC for all UEs if only a subset of them require such action. The drawback, on the other hand, is the heavy signalling overhead (as compared to broadcast) especially if the gNB intends to notify many UEs at once.</w:t>
      </w:r>
    </w:p>
    <w:p w14:paraId="4A3D90AF" w14:textId="77777777" w:rsidR="00414977" w:rsidRDefault="00414977" w:rsidP="00414977">
      <w:pPr>
        <w:jc w:val="both"/>
      </w:pPr>
      <w:r w:rsidRPr="003A4F32">
        <w:rPr>
          <w:b/>
          <w:bCs/>
        </w:rPr>
        <w:t xml:space="preserve">Proposal </w:t>
      </w:r>
      <w:r>
        <w:rPr>
          <w:b/>
          <w:bCs/>
        </w:rPr>
        <w:t>1</w:t>
      </w:r>
      <w:r w:rsidRPr="003A4F32">
        <w:rPr>
          <w:b/>
          <w:bCs/>
        </w:rPr>
        <w:t xml:space="preserve">: The network may indicate to the UE whether it should conduct propagation delay compensation. It may do so by means of </w:t>
      </w:r>
      <w:r>
        <w:rPr>
          <w:b/>
          <w:bCs/>
        </w:rPr>
        <w:t xml:space="preserve">a </w:t>
      </w:r>
      <w:r w:rsidRPr="003A4F32">
        <w:rPr>
          <w:b/>
          <w:bCs/>
        </w:rPr>
        <w:t>broadcast</w:t>
      </w:r>
      <w:r>
        <w:rPr>
          <w:b/>
          <w:bCs/>
        </w:rPr>
        <w:t>ed or unicasted</w:t>
      </w:r>
      <w:r w:rsidRPr="003A4F32">
        <w:rPr>
          <w:b/>
          <w:bCs/>
        </w:rPr>
        <w:t xml:space="preserve"> </w:t>
      </w:r>
      <w:r>
        <w:rPr>
          <w:b/>
          <w:bCs/>
        </w:rPr>
        <w:t>signal</w:t>
      </w:r>
      <w:r w:rsidRPr="003A4F32">
        <w:rPr>
          <w:b/>
          <w:bCs/>
        </w:rPr>
        <w:t>.</w:t>
      </w:r>
    </w:p>
    <w:p w14:paraId="36E46151" w14:textId="78C08A4E" w:rsidR="00414977" w:rsidRDefault="00414977" w:rsidP="00414977">
      <w:pPr>
        <w:jc w:val="both"/>
      </w:pPr>
      <w:r>
        <w:t xml:space="preserve">It has been seen already in Release-16 that propagation delay compensation only provides a time synchronization enhancement when the propagation delay is larger than a certain value. This value depends on the cell configuration and the propagation delay estimation technique. </w:t>
      </w:r>
      <w:r w:rsidR="006F2D96">
        <w:t>Consider a simple example where</w:t>
      </w:r>
      <w:r>
        <w:t xml:space="preserve"> the cross-over propagation delay is determined to be to </w:t>
      </w:r>
      <w:r w:rsidRPr="00667259">
        <w:rPr>
          <w:i/>
          <w:iCs/>
        </w:rPr>
        <w:t>X</w:t>
      </w:r>
      <w:r>
        <w:t xml:space="preserve"> ns. This </w:t>
      </w:r>
      <w:r w:rsidR="006F2D96">
        <w:t>means</w:t>
      </w:r>
      <w:r>
        <w:t xml:space="preserve"> apply</w:t>
      </w:r>
      <w:r w:rsidR="006F2D96">
        <w:t>ing</w:t>
      </w:r>
      <w:r>
        <w:t xml:space="preserve"> propagation delay compensation</w:t>
      </w:r>
      <w:r w:rsidR="006F2D96">
        <w:t xml:space="preserve"> would be more beneficial</w:t>
      </w:r>
      <w:r>
        <w:t xml:space="preserve"> if the propagation delay is above </w:t>
      </w:r>
      <w:r w:rsidRPr="00667259">
        <w:rPr>
          <w:i/>
          <w:iCs/>
        </w:rPr>
        <w:t>X</w:t>
      </w:r>
      <w:r>
        <w:t xml:space="preserve"> ns. Conversely, if the propagation delay is smaller than </w:t>
      </w:r>
      <w:r w:rsidRPr="00667259">
        <w:rPr>
          <w:i/>
          <w:iCs/>
        </w:rPr>
        <w:t>X</w:t>
      </w:r>
      <w:r>
        <w:t xml:space="preserve"> ns, the benefits of PDC is diminished. This cross-over point increases for the cases involving two Uu interfaces, and decreases with SCS due to the improved accuracy of the propagation delay estimation from the timing advance procedure. </w:t>
      </w:r>
      <w:r w:rsidR="006F2D96">
        <w:t>I</w:t>
      </w:r>
      <w:r>
        <w:t>f the propagation delay between a UE and a gNB is less than X (e.g. larger propagation delays cannot be experienced in the cell deployment), conduct</w:t>
      </w:r>
      <w:r w:rsidR="006F2D96">
        <w:t>ing</w:t>
      </w:r>
      <w:r>
        <w:t xml:space="preserve"> PDC</w:t>
      </w:r>
      <w:r w:rsidR="006F2D96">
        <w:t xml:space="preserve"> is never needed</w:t>
      </w:r>
      <w:r>
        <w:t xml:space="preserve">, and the UE could be configured to disable PDC entirely in the first place. On the other hand, for a large cell where it is known that no UEs are sufficiently close to the gNB, all UEs can be configured to apply propagation delay compensation. For a scenario, e.g. the indoor factory, with tight synchronization accuracy requirements, it can be beneficial to enable/disable propagation delay </w:t>
      </w:r>
      <w:r w:rsidR="006F2D96">
        <w:t xml:space="preserve">in accordance to whether </w:t>
      </w:r>
      <w:r>
        <w:t>the UE crosses the cross-over point, which should be more efficient than an “always on” approach</w:t>
      </w:r>
      <w:r w:rsidR="006F2D96">
        <w:t xml:space="preserve"> due to the adaptive nature</w:t>
      </w:r>
      <w:r>
        <w:t>.</w:t>
      </w:r>
    </w:p>
    <w:p w14:paraId="72762ECC" w14:textId="046AF65F" w:rsidR="00414977" w:rsidRDefault="00414977" w:rsidP="00414977">
      <w:pPr>
        <w:jc w:val="both"/>
      </w:pPr>
      <w:r>
        <w:t xml:space="preserve">In particular, for a very tight Uu interface time synchronization budget, it might be needed to turn propagation delay compensation on/off </w:t>
      </w:r>
      <w:r w:rsidR="006F2D96">
        <w:t xml:space="preserve">in a timely fashion </w:t>
      </w:r>
      <w:r>
        <w:t xml:space="preserve">when the UE </w:t>
      </w:r>
      <w:r w:rsidR="006F2D96">
        <w:t>reach</w:t>
      </w:r>
      <w:r w:rsidR="006F2D96">
        <w:t xml:space="preserve"> </w:t>
      </w:r>
      <w:r>
        <w:t>the cross-over point. Here, an implicit indication, such as a PD threshold can be beneficial in terms of avoiding late compensation. With such a threshold-based approach, the gNB can configure the UE with a propagation delay value (or range) for the UE to determine if it should conduct PDC. For instance, when its current propagation delay value exceeds the configured threshold, the UE will conduct propagation delay compensation; otherwise, the UE does not trigger such behaviour.</w:t>
      </w:r>
      <w:r w:rsidR="006F2D96">
        <w:t xml:space="preserve"> That is, PDC can be conditionally triggered at the UE.</w:t>
      </w:r>
    </w:p>
    <w:p w14:paraId="3AEE482A" w14:textId="77777777" w:rsidR="00414977" w:rsidRPr="003A4F32" w:rsidRDefault="00414977" w:rsidP="00414977">
      <w:pPr>
        <w:jc w:val="both"/>
        <w:rPr>
          <w:b/>
          <w:bCs/>
        </w:rPr>
      </w:pPr>
      <w:r w:rsidRPr="003A4F32">
        <w:rPr>
          <w:b/>
          <w:bCs/>
        </w:rPr>
        <w:t xml:space="preserve">Proposal </w:t>
      </w:r>
      <w:r>
        <w:rPr>
          <w:b/>
          <w:bCs/>
        </w:rPr>
        <w:t>2</w:t>
      </w:r>
      <w:r w:rsidRPr="003A4F32">
        <w:rPr>
          <w:b/>
          <w:bCs/>
        </w:rPr>
        <w:t>: The network may provide the UE with a propagation delay threshold</w:t>
      </w:r>
      <w:r>
        <w:rPr>
          <w:b/>
          <w:bCs/>
        </w:rPr>
        <w:t xml:space="preserve">. The UE use this threshold to determine whether it should apply </w:t>
      </w:r>
      <w:r w:rsidRPr="003A4F32">
        <w:rPr>
          <w:b/>
          <w:bCs/>
        </w:rPr>
        <w:t>propagation delay compensation.</w:t>
      </w:r>
    </w:p>
    <w:p w14:paraId="62533711" w14:textId="46CD2651" w:rsidR="00414977" w:rsidRDefault="00414977" w:rsidP="00414977">
      <w:pPr>
        <w:jc w:val="both"/>
      </w:pPr>
      <w:r>
        <w:t xml:space="preserve">It has been discussed if the UE should be able to request a PD estimation update. If this is to be supported, it is essential to assume that the internal oscillator of the UE is sufficiently stable, such that it can detect a change in the DL frame timing, which it may assume is due to a change in the propagation delay. If the UE internal oscillator is not sufficiently accurate, it will not be able to distinguish whether the change in DL frame timing is due to the propagation delay or due to its oscillator is drifting. It is not unreasonable to assume that a UE will have a fairly stable oscillator, </w:t>
      </w:r>
      <w:r w:rsidR="006F2D96">
        <w:t>especially when we are</w:t>
      </w:r>
      <w:r>
        <w:t xml:space="preserve"> </w:t>
      </w:r>
      <w:r w:rsidR="006F2D96">
        <w:t>mainly dealing with</w:t>
      </w:r>
      <w:r>
        <w:t xml:space="preserve"> industrial device</w:t>
      </w:r>
      <w:r w:rsidR="006F2D96">
        <w:t>s</w:t>
      </w:r>
      <w:r>
        <w:t xml:space="preserve">. Assuming a decent UE oscillator clock, the UE may </w:t>
      </w:r>
      <w:r w:rsidR="006F2D96">
        <w:t xml:space="preserve">be able </w:t>
      </w:r>
      <w:r>
        <w:t>to detect a change on the DL frame timing and then indicate this to the gNB. The alternative to a UE indication, is that the gNB configur</w:t>
      </w:r>
      <w:r w:rsidR="006F2D96">
        <w:t>es</w:t>
      </w:r>
      <w:r>
        <w:t xml:space="preserve"> propagation delay estimation procedure with a periodicity</w:t>
      </w:r>
      <w:r w:rsidR="006F2D96">
        <w:t xml:space="preserve"> that is</w:t>
      </w:r>
      <w:r>
        <w:t xml:space="preserve"> sufficiently fast </w:t>
      </w:r>
      <w:r w:rsidR="006F2D96">
        <w:t>for a UE</w:t>
      </w:r>
      <w:r>
        <w:t xml:space="preserve"> detect a change in PD. Keeping in mind that the budget can be very tight, a change larger than a few tens of ns might have to be detected.  </w:t>
      </w:r>
    </w:p>
    <w:p w14:paraId="2D746FC7" w14:textId="77777777" w:rsidR="00414977" w:rsidRPr="003A4F32" w:rsidRDefault="00414977" w:rsidP="00414977">
      <w:pPr>
        <w:jc w:val="both"/>
        <w:rPr>
          <w:b/>
          <w:bCs/>
        </w:rPr>
      </w:pPr>
      <w:r w:rsidRPr="003A4F32">
        <w:rPr>
          <w:b/>
          <w:bCs/>
        </w:rPr>
        <w:t xml:space="preserve">Proposal </w:t>
      </w:r>
      <w:r>
        <w:rPr>
          <w:b/>
          <w:bCs/>
        </w:rPr>
        <w:t>3</w:t>
      </w:r>
      <w:r w:rsidRPr="003A4F32">
        <w:rPr>
          <w:b/>
          <w:bCs/>
        </w:rPr>
        <w:t xml:space="preserve">: The gNB may configure the UE to </w:t>
      </w:r>
      <w:r>
        <w:rPr>
          <w:b/>
          <w:bCs/>
        </w:rPr>
        <w:t>report changes in</w:t>
      </w:r>
      <w:r w:rsidRPr="003A4F32">
        <w:rPr>
          <w:b/>
          <w:bCs/>
        </w:rPr>
        <w:t xml:space="preserve"> the DL frame timing.</w:t>
      </w:r>
    </w:p>
    <w:p w14:paraId="66F0EEA5" w14:textId="27AE7FAF" w:rsidR="00414977" w:rsidRDefault="00414977" w:rsidP="00414977">
      <w:pPr>
        <w:jc w:val="distribute"/>
      </w:pPr>
      <w:r>
        <w:t xml:space="preserve">Lastly, a UE may be aware of the expected clock drift rate, but not necessarily the instantaneous clock drift. The expected clock drift rate can help the network to decide the </w:t>
      </w:r>
      <w:r w:rsidR="00103EC6">
        <w:t xml:space="preserve">required periodicity of </w:t>
      </w:r>
      <w:r>
        <w:t xml:space="preserve">referenceTimeInfo-r16 (and the corresponding availability of DL reference signals). A UE signal of its desired reference can be a simple extension to </w:t>
      </w:r>
      <w:r w:rsidRPr="00F51623">
        <w:t>UEAssistanceInformation</w:t>
      </w:r>
      <w:r>
        <w:t>, where the UE may already signal its preference in receiving referenceTimeInfo-r16.</w:t>
      </w:r>
    </w:p>
    <w:p w14:paraId="4400297A" w14:textId="77777777" w:rsidR="00414977" w:rsidRPr="003A4F32" w:rsidRDefault="00414977" w:rsidP="00414977">
      <w:pPr>
        <w:jc w:val="both"/>
        <w:rPr>
          <w:b/>
          <w:bCs/>
        </w:rPr>
      </w:pPr>
      <w:r w:rsidRPr="003A4F32">
        <w:rPr>
          <w:b/>
          <w:bCs/>
        </w:rPr>
        <w:t xml:space="preserve">Proposal </w:t>
      </w:r>
      <w:r>
        <w:rPr>
          <w:b/>
          <w:bCs/>
        </w:rPr>
        <w:t>4</w:t>
      </w:r>
      <w:r w:rsidRPr="003A4F32">
        <w:rPr>
          <w:b/>
          <w:bCs/>
        </w:rPr>
        <w:t>: The UE may indicate the desired referenceTimeInfo-r16 periodicity</w:t>
      </w:r>
      <w:r>
        <w:rPr>
          <w:b/>
          <w:bCs/>
        </w:rPr>
        <w:t xml:space="preserve"> </w:t>
      </w:r>
      <w:r w:rsidRPr="003A4F32">
        <w:rPr>
          <w:b/>
          <w:bCs/>
        </w:rPr>
        <w:t>in UEAssistanceInformation.</w:t>
      </w:r>
    </w:p>
    <w:p w14:paraId="1685BB80" w14:textId="727ED2F0" w:rsidR="00F93149" w:rsidRPr="008258DC" w:rsidRDefault="00F93149" w:rsidP="000D79D9">
      <w:pPr>
        <w:rPr>
          <w:b/>
          <w:bCs/>
        </w:rPr>
      </w:pPr>
    </w:p>
    <w:p w14:paraId="5FF2457F" w14:textId="563873A6" w:rsidR="00A209D6" w:rsidRPr="006E13D1" w:rsidRDefault="001E1E1C" w:rsidP="00A209D6">
      <w:pPr>
        <w:pStyle w:val="Heading1"/>
      </w:pPr>
      <w:r>
        <w:t>3</w:t>
      </w:r>
      <w:r w:rsidR="00A209D6" w:rsidRPr="006E13D1">
        <w:tab/>
      </w:r>
      <w:r w:rsidR="008C3057">
        <w:t>Conclusion</w:t>
      </w:r>
    </w:p>
    <w:p w14:paraId="299D8956" w14:textId="0194D5CE" w:rsidR="00B837C4" w:rsidRPr="00667259" w:rsidRDefault="00B837C4" w:rsidP="00B837C4">
      <w:pPr>
        <w:jc w:val="both"/>
      </w:pPr>
      <w:r w:rsidRPr="00667259">
        <w:t xml:space="preserve">In this contribution, we </w:t>
      </w:r>
      <w:r w:rsidR="00103EC6">
        <w:t xml:space="preserve">presented our views on some of the open issues relating to activation/deactivation of UE-side propagation delay compensation. </w:t>
      </w:r>
      <w:r w:rsidRPr="00667259">
        <w:t xml:space="preserve"> Based on the discussion</w:t>
      </w:r>
      <w:r w:rsidR="00103EC6">
        <w:t>,</w:t>
      </w:r>
      <w:r w:rsidRPr="00667259">
        <w:t xml:space="preserve"> we have the following proposals:</w:t>
      </w:r>
    </w:p>
    <w:p w14:paraId="1BAA7858" w14:textId="77777777" w:rsidR="00B837C4" w:rsidRDefault="00B837C4" w:rsidP="00B837C4">
      <w:pPr>
        <w:ind w:left="284"/>
        <w:jc w:val="both"/>
        <w:rPr>
          <w:b/>
          <w:bCs/>
        </w:rPr>
      </w:pPr>
      <w:r w:rsidRPr="003A4F32">
        <w:rPr>
          <w:b/>
          <w:bCs/>
        </w:rPr>
        <w:t xml:space="preserve">Proposal </w:t>
      </w:r>
      <w:r>
        <w:rPr>
          <w:b/>
          <w:bCs/>
        </w:rPr>
        <w:t>1</w:t>
      </w:r>
      <w:r w:rsidRPr="003A4F32">
        <w:rPr>
          <w:b/>
          <w:bCs/>
        </w:rPr>
        <w:t xml:space="preserve">: The network may indicate to the UE whether it should conduct propagation delay compensation. It may do so by means of </w:t>
      </w:r>
      <w:r>
        <w:rPr>
          <w:b/>
          <w:bCs/>
        </w:rPr>
        <w:t xml:space="preserve">a </w:t>
      </w:r>
      <w:r w:rsidRPr="003A4F32">
        <w:rPr>
          <w:b/>
          <w:bCs/>
        </w:rPr>
        <w:t>broadcast</w:t>
      </w:r>
      <w:r>
        <w:rPr>
          <w:b/>
          <w:bCs/>
        </w:rPr>
        <w:t>ed or unicasted</w:t>
      </w:r>
      <w:r w:rsidRPr="003A4F32">
        <w:rPr>
          <w:b/>
          <w:bCs/>
        </w:rPr>
        <w:t xml:space="preserve"> </w:t>
      </w:r>
      <w:r>
        <w:rPr>
          <w:b/>
          <w:bCs/>
        </w:rPr>
        <w:t>signal</w:t>
      </w:r>
      <w:r w:rsidRPr="003A4F32">
        <w:rPr>
          <w:b/>
          <w:bCs/>
        </w:rPr>
        <w:t>.</w:t>
      </w:r>
    </w:p>
    <w:p w14:paraId="75D7821C" w14:textId="77777777" w:rsidR="00B837C4" w:rsidRDefault="00B837C4" w:rsidP="00B837C4">
      <w:pPr>
        <w:ind w:left="284"/>
        <w:jc w:val="both"/>
        <w:rPr>
          <w:b/>
          <w:bCs/>
        </w:rPr>
      </w:pPr>
      <w:r w:rsidRPr="003A4F32">
        <w:rPr>
          <w:b/>
          <w:bCs/>
        </w:rPr>
        <w:lastRenderedPageBreak/>
        <w:t xml:space="preserve">Proposal </w:t>
      </w:r>
      <w:r>
        <w:rPr>
          <w:b/>
          <w:bCs/>
        </w:rPr>
        <w:t>2</w:t>
      </w:r>
      <w:r w:rsidRPr="003A4F32">
        <w:rPr>
          <w:b/>
          <w:bCs/>
        </w:rPr>
        <w:t>: The network may provide the UE with a propagation delay threshold</w:t>
      </w:r>
      <w:r>
        <w:rPr>
          <w:b/>
          <w:bCs/>
        </w:rPr>
        <w:t xml:space="preserve">. The UE use this threshold to determine whether it should apply </w:t>
      </w:r>
      <w:r w:rsidRPr="003A4F32">
        <w:rPr>
          <w:b/>
          <w:bCs/>
        </w:rPr>
        <w:t>propagation delay compensation.</w:t>
      </w:r>
    </w:p>
    <w:p w14:paraId="67A76A93" w14:textId="77777777" w:rsidR="00B837C4" w:rsidRDefault="00B837C4" w:rsidP="00B837C4">
      <w:pPr>
        <w:ind w:left="284"/>
        <w:jc w:val="both"/>
        <w:rPr>
          <w:b/>
          <w:bCs/>
        </w:rPr>
      </w:pPr>
      <w:r w:rsidRPr="003A4F32">
        <w:rPr>
          <w:b/>
          <w:bCs/>
        </w:rPr>
        <w:t xml:space="preserve">Proposal </w:t>
      </w:r>
      <w:r>
        <w:rPr>
          <w:b/>
          <w:bCs/>
        </w:rPr>
        <w:t>3</w:t>
      </w:r>
      <w:r w:rsidRPr="003A4F32">
        <w:rPr>
          <w:b/>
          <w:bCs/>
        </w:rPr>
        <w:t xml:space="preserve">: The gNB may configure the UE to </w:t>
      </w:r>
      <w:r>
        <w:rPr>
          <w:b/>
          <w:bCs/>
        </w:rPr>
        <w:t>report changes in</w:t>
      </w:r>
      <w:r w:rsidRPr="003A4F32">
        <w:rPr>
          <w:b/>
          <w:bCs/>
        </w:rPr>
        <w:t xml:space="preserve"> the DL frame timing.</w:t>
      </w:r>
    </w:p>
    <w:p w14:paraId="1CB073BA" w14:textId="45DAF350" w:rsidR="00B837C4" w:rsidRDefault="00B837C4" w:rsidP="00B837C4">
      <w:pPr>
        <w:ind w:left="284"/>
        <w:jc w:val="both"/>
        <w:rPr>
          <w:b/>
          <w:bCs/>
        </w:rPr>
      </w:pPr>
      <w:r w:rsidRPr="003A4F32">
        <w:rPr>
          <w:b/>
          <w:bCs/>
        </w:rPr>
        <w:t xml:space="preserve">Proposal </w:t>
      </w:r>
      <w:r>
        <w:rPr>
          <w:b/>
          <w:bCs/>
        </w:rPr>
        <w:t>4</w:t>
      </w:r>
      <w:r w:rsidRPr="003A4F32">
        <w:rPr>
          <w:b/>
          <w:bCs/>
        </w:rPr>
        <w:t>: The UE may indicate the desired referenceTimeInfo-r16 periodicity</w:t>
      </w:r>
      <w:r>
        <w:rPr>
          <w:b/>
          <w:bCs/>
        </w:rPr>
        <w:t xml:space="preserve"> </w:t>
      </w:r>
      <w:r w:rsidRPr="003A4F32">
        <w:rPr>
          <w:b/>
          <w:bCs/>
        </w:rPr>
        <w:t>in UEAssistanceInformation.</w:t>
      </w:r>
    </w:p>
    <w:p w14:paraId="7BB515BB" w14:textId="77777777" w:rsidR="00103EC6" w:rsidRPr="003A4F32" w:rsidRDefault="00103EC6" w:rsidP="00B837C4">
      <w:pPr>
        <w:ind w:left="284"/>
        <w:jc w:val="both"/>
        <w:rPr>
          <w:b/>
          <w:bCs/>
        </w:rPr>
      </w:pPr>
    </w:p>
    <w:p w14:paraId="647257F1" w14:textId="3F55A043" w:rsidR="00103EC6" w:rsidRPr="006E13D1" w:rsidRDefault="00103EC6" w:rsidP="00103EC6">
      <w:pPr>
        <w:pStyle w:val="Heading1"/>
      </w:pPr>
      <w:r>
        <w:t>References</w:t>
      </w:r>
    </w:p>
    <w:p w14:paraId="11A4AA12" w14:textId="7ED62C9C" w:rsidR="00103EC6" w:rsidRDefault="00103EC6" w:rsidP="00103EC6">
      <w:pPr>
        <w:jc w:val="both"/>
        <w:rPr>
          <w:szCs w:val="16"/>
        </w:rPr>
      </w:pPr>
      <w:r>
        <w:t xml:space="preserve">[1] R2-2009755, </w:t>
      </w:r>
      <w:r w:rsidRPr="00103EC6">
        <w:rPr>
          <w:i/>
          <w:iCs/>
          <w:szCs w:val="16"/>
        </w:rPr>
        <w:t>Summary of E-mail discussion: [Post111-e][924][R17 URLLC/IIoT] Propagation delay for TSN (Nokia)</w:t>
      </w:r>
      <w:r>
        <w:rPr>
          <w:szCs w:val="16"/>
        </w:rPr>
        <w:t>, Nokia, Nokia Shanghai Bell, RAN2 #112e, Nov. 2020.</w:t>
      </w:r>
    </w:p>
    <w:p w14:paraId="70A182E3" w14:textId="535B1C84" w:rsidR="00103EC6" w:rsidRDefault="00103EC6" w:rsidP="00103EC6">
      <w:pPr>
        <w:jc w:val="both"/>
        <w:rPr>
          <w:szCs w:val="16"/>
        </w:rPr>
      </w:pPr>
      <w:r>
        <w:t>[1] R2-200975</w:t>
      </w:r>
      <w:r>
        <w:t>6</w:t>
      </w:r>
      <w:r>
        <w:t xml:space="preserve">, </w:t>
      </w:r>
      <w:r w:rsidRPr="00103EC6">
        <w:rPr>
          <w:i/>
          <w:iCs/>
          <w:szCs w:val="16"/>
        </w:rPr>
        <w:t>[DRAFT] Reply LS on propagation delay compensation enhancements</w:t>
      </w:r>
      <w:r>
        <w:rPr>
          <w:i/>
          <w:iCs/>
          <w:szCs w:val="16"/>
        </w:rPr>
        <w:t>,</w:t>
      </w:r>
      <w:r w:rsidRPr="00103EC6">
        <w:rPr>
          <w:i/>
          <w:iCs/>
          <w:szCs w:val="16"/>
        </w:rPr>
        <w:t xml:space="preserve"> </w:t>
      </w:r>
      <w:r>
        <w:rPr>
          <w:szCs w:val="16"/>
        </w:rPr>
        <w:t>Nokia, Nokia Shanghai Bell, RAN2 #112e, Nov. 2020.</w:t>
      </w:r>
    </w:p>
    <w:p w14:paraId="797A63FD" w14:textId="77777777" w:rsidR="00103EC6" w:rsidRPr="00103EC6" w:rsidRDefault="00103EC6" w:rsidP="00103EC6">
      <w:pPr>
        <w:jc w:val="both"/>
      </w:pPr>
    </w:p>
    <w:p w14:paraId="432B0A82" w14:textId="77777777" w:rsidR="00A209D6" w:rsidRDefault="00A209D6" w:rsidP="00A209D6"/>
    <w:p w14:paraId="653EED19" w14:textId="77777777" w:rsidR="00A209D6" w:rsidRPr="00CD4C7B" w:rsidRDefault="00A209D6" w:rsidP="00A209D6"/>
    <w:p w14:paraId="35F222F4" w14:textId="77777777" w:rsidR="00080512" w:rsidRPr="00A209D6" w:rsidRDefault="00080512" w:rsidP="00A209D6"/>
    <w:sectPr w:rsidR="00080512" w:rsidRPr="00A209D6">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E41DE4" w14:textId="77777777" w:rsidR="0033552B" w:rsidRDefault="0033552B">
      <w:r>
        <w:separator/>
      </w:r>
    </w:p>
  </w:endnote>
  <w:endnote w:type="continuationSeparator" w:id="0">
    <w:p w14:paraId="7460F9DA" w14:textId="77777777" w:rsidR="0033552B" w:rsidRDefault="0033552B">
      <w:r>
        <w:continuationSeparator/>
      </w:r>
    </w:p>
  </w:endnote>
  <w:endnote w:type="continuationNotice" w:id="1">
    <w:p w14:paraId="010ADB03" w14:textId="77777777" w:rsidR="0033552B" w:rsidRDefault="003355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7E7181" w14:textId="77777777" w:rsidR="0033552B" w:rsidRDefault="0033552B">
      <w:r>
        <w:separator/>
      </w:r>
    </w:p>
  </w:footnote>
  <w:footnote w:type="continuationSeparator" w:id="0">
    <w:p w14:paraId="3E672A60" w14:textId="77777777" w:rsidR="0033552B" w:rsidRDefault="0033552B">
      <w:r>
        <w:continuationSeparator/>
      </w:r>
    </w:p>
  </w:footnote>
  <w:footnote w:type="continuationNotice" w:id="1">
    <w:p w14:paraId="7C397832" w14:textId="77777777" w:rsidR="0033552B" w:rsidRDefault="0033552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DD4CEE"/>
    <w:multiLevelType w:val="hybridMultilevel"/>
    <w:tmpl w:val="16DE8E2E"/>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DA483A"/>
    <w:multiLevelType w:val="hybridMultilevel"/>
    <w:tmpl w:val="2542A2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0C7D63"/>
    <w:multiLevelType w:val="hybridMultilevel"/>
    <w:tmpl w:val="18FA84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3CF4AD1"/>
    <w:multiLevelType w:val="hybridMultilevel"/>
    <w:tmpl w:val="1E6697BC"/>
    <w:lvl w:ilvl="0" w:tplc="04090001">
      <w:start w:val="12"/>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0"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1" w15:restartNumberingAfterBreak="0">
    <w:nsid w:val="52CB7E77"/>
    <w:multiLevelType w:val="hybridMultilevel"/>
    <w:tmpl w:val="D71CF4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5453375F"/>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5DE03639"/>
    <w:multiLevelType w:val="hybridMultilevel"/>
    <w:tmpl w:val="B0E6EA1A"/>
    <w:lvl w:ilvl="0" w:tplc="0F184C3A">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629046B"/>
    <w:multiLevelType w:val="hybridMultilevel"/>
    <w:tmpl w:val="D9985C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5"/>
  </w:num>
  <w:num w:numId="6">
    <w:abstractNumId w:val="9"/>
  </w:num>
  <w:num w:numId="7">
    <w:abstractNumId w:val="10"/>
  </w:num>
  <w:num w:numId="8">
    <w:abstractNumId w:val="8"/>
  </w:num>
  <w:num w:numId="9">
    <w:abstractNumId w:val="13"/>
  </w:num>
  <w:num w:numId="10">
    <w:abstractNumId w:val="11"/>
  </w:num>
  <w:num w:numId="11">
    <w:abstractNumId w:val="11"/>
  </w:num>
  <w:num w:numId="12">
    <w:abstractNumId w:val="12"/>
  </w:num>
  <w:num w:numId="13">
    <w:abstractNumId w:val="14"/>
  </w:num>
  <w:num w:numId="14">
    <w:abstractNumId w:val="6"/>
  </w:num>
  <w:num w:numId="15">
    <w:abstractNumId w:val="3"/>
  </w:num>
  <w:num w:numId="16">
    <w:abstractNumId w:val="4"/>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06B"/>
    <w:rsid w:val="00000D39"/>
    <w:rsid w:val="00001A65"/>
    <w:rsid w:val="000073A3"/>
    <w:rsid w:val="000074B1"/>
    <w:rsid w:val="000077C5"/>
    <w:rsid w:val="00011AEF"/>
    <w:rsid w:val="000125FF"/>
    <w:rsid w:val="0001283E"/>
    <w:rsid w:val="00013BA3"/>
    <w:rsid w:val="00016557"/>
    <w:rsid w:val="00021971"/>
    <w:rsid w:val="00022682"/>
    <w:rsid w:val="00022BDC"/>
    <w:rsid w:val="00023041"/>
    <w:rsid w:val="00023C40"/>
    <w:rsid w:val="00025FA3"/>
    <w:rsid w:val="000309FF"/>
    <w:rsid w:val="00032DC8"/>
    <w:rsid w:val="00033397"/>
    <w:rsid w:val="00040095"/>
    <w:rsid w:val="00045B89"/>
    <w:rsid w:val="000472CF"/>
    <w:rsid w:val="00053677"/>
    <w:rsid w:val="000634FA"/>
    <w:rsid w:val="00065692"/>
    <w:rsid w:val="00066761"/>
    <w:rsid w:val="00066A5A"/>
    <w:rsid w:val="00071944"/>
    <w:rsid w:val="00073C9C"/>
    <w:rsid w:val="0007650E"/>
    <w:rsid w:val="00076E03"/>
    <w:rsid w:val="00080512"/>
    <w:rsid w:val="00080555"/>
    <w:rsid w:val="000816C6"/>
    <w:rsid w:val="000817ED"/>
    <w:rsid w:val="00082770"/>
    <w:rsid w:val="00083291"/>
    <w:rsid w:val="00084C6B"/>
    <w:rsid w:val="00086CAB"/>
    <w:rsid w:val="000901E9"/>
    <w:rsid w:val="00090468"/>
    <w:rsid w:val="0009296D"/>
    <w:rsid w:val="00094568"/>
    <w:rsid w:val="00096B17"/>
    <w:rsid w:val="00096DA0"/>
    <w:rsid w:val="000976B1"/>
    <w:rsid w:val="000A0907"/>
    <w:rsid w:val="000A191A"/>
    <w:rsid w:val="000A222C"/>
    <w:rsid w:val="000A4E64"/>
    <w:rsid w:val="000A6DFE"/>
    <w:rsid w:val="000A7382"/>
    <w:rsid w:val="000B19B4"/>
    <w:rsid w:val="000B2261"/>
    <w:rsid w:val="000B3BC8"/>
    <w:rsid w:val="000B54D6"/>
    <w:rsid w:val="000B71DF"/>
    <w:rsid w:val="000B7511"/>
    <w:rsid w:val="000B7BCF"/>
    <w:rsid w:val="000C1FD4"/>
    <w:rsid w:val="000C253A"/>
    <w:rsid w:val="000C4B04"/>
    <w:rsid w:val="000C4DAC"/>
    <w:rsid w:val="000C522B"/>
    <w:rsid w:val="000C63EA"/>
    <w:rsid w:val="000C6ACB"/>
    <w:rsid w:val="000C6FE2"/>
    <w:rsid w:val="000D5479"/>
    <w:rsid w:val="000D58AB"/>
    <w:rsid w:val="000D5CBE"/>
    <w:rsid w:val="000D77B1"/>
    <w:rsid w:val="000D79D9"/>
    <w:rsid w:val="000E09C6"/>
    <w:rsid w:val="000E4199"/>
    <w:rsid w:val="000E42A1"/>
    <w:rsid w:val="000E49AB"/>
    <w:rsid w:val="000E6E16"/>
    <w:rsid w:val="000F018B"/>
    <w:rsid w:val="000F1B08"/>
    <w:rsid w:val="000F4181"/>
    <w:rsid w:val="00100B91"/>
    <w:rsid w:val="00100EE7"/>
    <w:rsid w:val="001010A2"/>
    <w:rsid w:val="00102AE1"/>
    <w:rsid w:val="00103EC6"/>
    <w:rsid w:val="00111204"/>
    <w:rsid w:val="00112F1A"/>
    <w:rsid w:val="00120787"/>
    <w:rsid w:val="0012159C"/>
    <w:rsid w:val="001241FA"/>
    <w:rsid w:val="00124A9E"/>
    <w:rsid w:val="00124D49"/>
    <w:rsid w:val="0012621C"/>
    <w:rsid w:val="00134321"/>
    <w:rsid w:val="00136DFB"/>
    <w:rsid w:val="00142B26"/>
    <w:rsid w:val="001445EB"/>
    <w:rsid w:val="0014485F"/>
    <w:rsid w:val="00144FC4"/>
    <w:rsid w:val="00145075"/>
    <w:rsid w:val="00145948"/>
    <w:rsid w:val="001471C0"/>
    <w:rsid w:val="00147B2B"/>
    <w:rsid w:val="001518CF"/>
    <w:rsid w:val="00151CC3"/>
    <w:rsid w:val="00152D9C"/>
    <w:rsid w:val="00154216"/>
    <w:rsid w:val="0015463E"/>
    <w:rsid w:val="00157B83"/>
    <w:rsid w:val="001618D7"/>
    <w:rsid w:val="00163708"/>
    <w:rsid w:val="00163A0C"/>
    <w:rsid w:val="00164E14"/>
    <w:rsid w:val="00166577"/>
    <w:rsid w:val="00166A23"/>
    <w:rsid w:val="0017125A"/>
    <w:rsid w:val="001741A0"/>
    <w:rsid w:val="001755F6"/>
    <w:rsid w:val="00175FA0"/>
    <w:rsid w:val="001768A1"/>
    <w:rsid w:val="001805B5"/>
    <w:rsid w:val="001809B0"/>
    <w:rsid w:val="00181B6F"/>
    <w:rsid w:val="00185B63"/>
    <w:rsid w:val="0019001F"/>
    <w:rsid w:val="00190AA1"/>
    <w:rsid w:val="00193BC3"/>
    <w:rsid w:val="00194CD0"/>
    <w:rsid w:val="00195C9B"/>
    <w:rsid w:val="001A0F26"/>
    <w:rsid w:val="001A7CAB"/>
    <w:rsid w:val="001B3F53"/>
    <w:rsid w:val="001B4988"/>
    <w:rsid w:val="001B49C9"/>
    <w:rsid w:val="001B6A9D"/>
    <w:rsid w:val="001B7487"/>
    <w:rsid w:val="001B7F33"/>
    <w:rsid w:val="001C23F4"/>
    <w:rsid w:val="001C26AC"/>
    <w:rsid w:val="001C2EF6"/>
    <w:rsid w:val="001C4F79"/>
    <w:rsid w:val="001C6F73"/>
    <w:rsid w:val="001D2948"/>
    <w:rsid w:val="001D5672"/>
    <w:rsid w:val="001D5E4A"/>
    <w:rsid w:val="001D5FA6"/>
    <w:rsid w:val="001D5FF4"/>
    <w:rsid w:val="001D764B"/>
    <w:rsid w:val="001E095B"/>
    <w:rsid w:val="001E1E1C"/>
    <w:rsid w:val="001E3D8D"/>
    <w:rsid w:val="001E6361"/>
    <w:rsid w:val="001F168B"/>
    <w:rsid w:val="001F46F1"/>
    <w:rsid w:val="001F5A11"/>
    <w:rsid w:val="001F6DEE"/>
    <w:rsid w:val="001F7831"/>
    <w:rsid w:val="001F7AF1"/>
    <w:rsid w:val="00200F20"/>
    <w:rsid w:val="00203C48"/>
    <w:rsid w:val="00203E65"/>
    <w:rsid w:val="00204045"/>
    <w:rsid w:val="00206CCC"/>
    <w:rsid w:val="0020712B"/>
    <w:rsid w:val="00211586"/>
    <w:rsid w:val="00214E03"/>
    <w:rsid w:val="00216FE8"/>
    <w:rsid w:val="00217C63"/>
    <w:rsid w:val="00223C04"/>
    <w:rsid w:val="002252CF"/>
    <w:rsid w:val="0022606D"/>
    <w:rsid w:val="002276AF"/>
    <w:rsid w:val="00230167"/>
    <w:rsid w:val="00231728"/>
    <w:rsid w:val="00232AAD"/>
    <w:rsid w:val="00235BA5"/>
    <w:rsid w:val="0023691C"/>
    <w:rsid w:val="002412FB"/>
    <w:rsid w:val="0024473F"/>
    <w:rsid w:val="00244A05"/>
    <w:rsid w:val="00245EDE"/>
    <w:rsid w:val="00250404"/>
    <w:rsid w:val="002555E1"/>
    <w:rsid w:val="00257ACA"/>
    <w:rsid w:val="002610A8"/>
    <w:rsid w:val="002610D8"/>
    <w:rsid w:val="0026144E"/>
    <w:rsid w:val="00262BE6"/>
    <w:rsid w:val="00263B8D"/>
    <w:rsid w:val="00265B0D"/>
    <w:rsid w:val="0026633B"/>
    <w:rsid w:val="002663AE"/>
    <w:rsid w:val="002666E0"/>
    <w:rsid w:val="002671C8"/>
    <w:rsid w:val="002678D5"/>
    <w:rsid w:val="002747EC"/>
    <w:rsid w:val="002753B8"/>
    <w:rsid w:val="002756DC"/>
    <w:rsid w:val="0028115E"/>
    <w:rsid w:val="002820CB"/>
    <w:rsid w:val="0028256E"/>
    <w:rsid w:val="002829B1"/>
    <w:rsid w:val="002831AD"/>
    <w:rsid w:val="002838D2"/>
    <w:rsid w:val="002855BF"/>
    <w:rsid w:val="00286151"/>
    <w:rsid w:val="0029054D"/>
    <w:rsid w:val="00292CDD"/>
    <w:rsid w:val="00294765"/>
    <w:rsid w:val="00295A11"/>
    <w:rsid w:val="00297D51"/>
    <w:rsid w:val="002A05D7"/>
    <w:rsid w:val="002A1003"/>
    <w:rsid w:val="002A42D4"/>
    <w:rsid w:val="002A55C8"/>
    <w:rsid w:val="002A5D64"/>
    <w:rsid w:val="002A6A44"/>
    <w:rsid w:val="002A6F75"/>
    <w:rsid w:val="002A7E13"/>
    <w:rsid w:val="002B079A"/>
    <w:rsid w:val="002B1260"/>
    <w:rsid w:val="002B3344"/>
    <w:rsid w:val="002B4584"/>
    <w:rsid w:val="002B5439"/>
    <w:rsid w:val="002B54E7"/>
    <w:rsid w:val="002B6991"/>
    <w:rsid w:val="002C2466"/>
    <w:rsid w:val="002C4CB5"/>
    <w:rsid w:val="002C53B0"/>
    <w:rsid w:val="002C62C7"/>
    <w:rsid w:val="002E03D8"/>
    <w:rsid w:val="002E2B0E"/>
    <w:rsid w:val="002E3545"/>
    <w:rsid w:val="002E47E7"/>
    <w:rsid w:val="002E58B2"/>
    <w:rsid w:val="002E5AD7"/>
    <w:rsid w:val="002F0251"/>
    <w:rsid w:val="002F0D22"/>
    <w:rsid w:val="002F19DF"/>
    <w:rsid w:val="002F5E51"/>
    <w:rsid w:val="002F6584"/>
    <w:rsid w:val="002F7F7E"/>
    <w:rsid w:val="0030156D"/>
    <w:rsid w:val="00305C62"/>
    <w:rsid w:val="0030688D"/>
    <w:rsid w:val="00307115"/>
    <w:rsid w:val="003078FC"/>
    <w:rsid w:val="0031111B"/>
    <w:rsid w:val="00311B17"/>
    <w:rsid w:val="00313E66"/>
    <w:rsid w:val="003149D4"/>
    <w:rsid w:val="00314C72"/>
    <w:rsid w:val="0031537A"/>
    <w:rsid w:val="003172DC"/>
    <w:rsid w:val="0032192D"/>
    <w:rsid w:val="003219E3"/>
    <w:rsid w:val="00321E17"/>
    <w:rsid w:val="00321E49"/>
    <w:rsid w:val="00325AE3"/>
    <w:rsid w:val="00325B86"/>
    <w:rsid w:val="00326069"/>
    <w:rsid w:val="0033125B"/>
    <w:rsid w:val="0033552B"/>
    <w:rsid w:val="0033616B"/>
    <w:rsid w:val="00337FFC"/>
    <w:rsid w:val="003417F1"/>
    <w:rsid w:val="00344A68"/>
    <w:rsid w:val="00345F46"/>
    <w:rsid w:val="00346A5D"/>
    <w:rsid w:val="00346BF2"/>
    <w:rsid w:val="0034725E"/>
    <w:rsid w:val="003507AD"/>
    <w:rsid w:val="00352453"/>
    <w:rsid w:val="0035462D"/>
    <w:rsid w:val="0036005C"/>
    <w:rsid w:val="00361B13"/>
    <w:rsid w:val="00361C76"/>
    <w:rsid w:val="00362927"/>
    <w:rsid w:val="00363575"/>
    <w:rsid w:val="0036459E"/>
    <w:rsid w:val="00364B41"/>
    <w:rsid w:val="00365780"/>
    <w:rsid w:val="0036675C"/>
    <w:rsid w:val="0037076F"/>
    <w:rsid w:val="003740F2"/>
    <w:rsid w:val="003756B4"/>
    <w:rsid w:val="0037620F"/>
    <w:rsid w:val="003769C7"/>
    <w:rsid w:val="00376C58"/>
    <w:rsid w:val="00383096"/>
    <w:rsid w:val="003832AF"/>
    <w:rsid w:val="003844EB"/>
    <w:rsid w:val="0038572D"/>
    <w:rsid w:val="00386017"/>
    <w:rsid w:val="00386B72"/>
    <w:rsid w:val="003871DE"/>
    <w:rsid w:val="00387348"/>
    <w:rsid w:val="00391224"/>
    <w:rsid w:val="0039346C"/>
    <w:rsid w:val="003937D9"/>
    <w:rsid w:val="00393E1F"/>
    <w:rsid w:val="0039473A"/>
    <w:rsid w:val="003976E0"/>
    <w:rsid w:val="00397781"/>
    <w:rsid w:val="003A100C"/>
    <w:rsid w:val="003A1C74"/>
    <w:rsid w:val="003A23CF"/>
    <w:rsid w:val="003A24C9"/>
    <w:rsid w:val="003A3414"/>
    <w:rsid w:val="003A41EF"/>
    <w:rsid w:val="003A4F32"/>
    <w:rsid w:val="003A524C"/>
    <w:rsid w:val="003A5C99"/>
    <w:rsid w:val="003A5D07"/>
    <w:rsid w:val="003A7C4C"/>
    <w:rsid w:val="003B3CD1"/>
    <w:rsid w:val="003B40AD"/>
    <w:rsid w:val="003B5B78"/>
    <w:rsid w:val="003B5C68"/>
    <w:rsid w:val="003B6687"/>
    <w:rsid w:val="003B7158"/>
    <w:rsid w:val="003B7BBE"/>
    <w:rsid w:val="003C34AE"/>
    <w:rsid w:val="003C46B7"/>
    <w:rsid w:val="003C4E37"/>
    <w:rsid w:val="003C5490"/>
    <w:rsid w:val="003C6C10"/>
    <w:rsid w:val="003C6F0B"/>
    <w:rsid w:val="003D1647"/>
    <w:rsid w:val="003D4169"/>
    <w:rsid w:val="003D636F"/>
    <w:rsid w:val="003E0433"/>
    <w:rsid w:val="003E16BE"/>
    <w:rsid w:val="003E37DF"/>
    <w:rsid w:val="003E3A6E"/>
    <w:rsid w:val="003E5DD7"/>
    <w:rsid w:val="003E6A09"/>
    <w:rsid w:val="003E7579"/>
    <w:rsid w:val="003E7C37"/>
    <w:rsid w:val="003F0AAC"/>
    <w:rsid w:val="003F1D25"/>
    <w:rsid w:val="003F4E28"/>
    <w:rsid w:val="003F6852"/>
    <w:rsid w:val="003F6A3B"/>
    <w:rsid w:val="004006E8"/>
    <w:rsid w:val="00401855"/>
    <w:rsid w:val="004019F8"/>
    <w:rsid w:val="00403F18"/>
    <w:rsid w:val="004054EB"/>
    <w:rsid w:val="00410506"/>
    <w:rsid w:val="00413130"/>
    <w:rsid w:val="00414977"/>
    <w:rsid w:val="00415677"/>
    <w:rsid w:val="0042000F"/>
    <w:rsid w:val="00420DB2"/>
    <w:rsid w:val="0042120B"/>
    <w:rsid w:val="00422200"/>
    <w:rsid w:val="0042287D"/>
    <w:rsid w:val="004231F6"/>
    <w:rsid w:val="00425A72"/>
    <w:rsid w:val="00425BBE"/>
    <w:rsid w:val="00427957"/>
    <w:rsid w:val="00430579"/>
    <w:rsid w:val="00430855"/>
    <w:rsid w:val="00434E27"/>
    <w:rsid w:val="004354BF"/>
    <w:rsid w:val="004442FC"/>
    <w:rsid w:val="004465AE"/>
    <w:rsid w:val="00453373"/>
    <w:rsid w:val="00461272"/>
    <w:rsid w:val="0046409C"/>
    <w:rsid w:val="00464E6B"/>
    <w:rsid w:val="0046533E"/>
    <w:rsid w:val="00465587"/>
    <w:rsid w:val="0047161F"/>
    <w:rsid w:val="004745E9"/>
    <w:rsid w:val="004750C4"/>
    <w:rsid w:val="00475C98"/>
    <w:rsid w:val="00476C43"/>
    <w:rsid w:val="00477455"/>
    <w:rsid w:val="00480088"/>
    <w:rsid w:val="00481822"/>
    <w:rsid w:val="0048279B"/>
    <w:rsid w:val="00483093"/>
    <w:rsid w:val="00486258"/>
    <w:rsid w:val="004871F4"/>
    <w:rsid w:val="004920DA"/>
    <w:rsid w:val="00494433"/>
    <w:rsid w:val="004949F9"/>
    <w:rsid w:val="00494F7B"/>
    <w:rsid w:val="004A1F7B"/>
    <w:rsid w:val="004A294E"/>
    <w:rsid w:val="004A3982"/>
    <w:rsid w:val="004A5646"/>
    <w:rsid w:val="004A7275"/>
    <w:rsid w:val="004B0A87"/>
    <w:rsid w:val="004B2B5E"/>
    <w:rsid w:val="004B5B15"/>
    <w:rsid w:val="004B6BCD"/>
    <w:rsid w:val="004C0050"/>
    <w:rsid w:val="004C1DF2"/>
    <w:rsid w:val="004C22FF"/>
    <w:rsid w:val="004C3E93"/>
    <w:rsid w:val="004C44D2"/>
    <w:rsid w:val="004C7E8C"/>
    <w:rsid w:val="004D2966"/>
    <w:rsid w:val="004D3202"/>
    <w:rsid w:val="004D3578"/>
    <w:rsid w:val="004D380D"/>
    <w:rsid w:val="004D7963"/>
    <w:rsid w:val="004E2004"/>
    <w:rsid w:val="004E213A"/>
    <w:rsid w:val="004E27D6"/>
    <w:rsid w:val="004E4FD0"/>
    <w:rsid w:val="004E5FE1"/>
    <w:rsid w:val="004F22D6"/>
    <w:rsid w:val="00502D90"/>
    <w:rsid w:val="00503171"/>
    <w:rsid w:val="0050468A"/>
    <w:rsid w:val="00504B88"/>
    <w:rsid w:val="00506C28"/>
    <w:rsid w:val="005111E1"/>
    <w:rsid w:val="00511CDA"/>
    <w:rsid w:val="0051245F"/>
    <w:rsid w:val="00515FDE"/>
    <w:rsid w:val="0052028C"/>
    <w:rsid w:val="0052053B"/>
    <w:rsid w:val="00522478"/>
    <w:rsid w:val="00522CB0"/>
    <w:rsid w:val="00524A28"/>
    <w:rsid w:val="00524E84"/>
    <w:rsid w:val="005267E2"/>
    <w:rsid w:val="0052761A"/>
    <w:rsid w:val="00527D7E"/>
    <w:rsid w:val="00534DA0"/>
    <w:rsid w:val="00535BAF"/>
    <w:rsid w:val="00535E16"/>
    <w:rsid w:val="005367AE"/>
    <w:rsid w:val="00540DBC"/>
    <w:rsid w:val="00540FE9"/>
    <w:rsid w:val="00543E6C"/>
    <w:rsid w:val="00545493"/>
    <w:rsid w:val="00546997"/>
    <w:rsid w:val="005514D6"/>
    <w:rsid w:val="00551CC4"/>
    <w:rsid w:val="005544B6"/>
    <w:rsid w:val="00561983"/>
    <w:rsid w:val="00564C42"/>
    <w:rsid w:val="00565087"/>
    <w:rsid w:val="0056573F"/>
    <w:rsid w:val="00571170"/>
    <w:rsid w:val="00571279"/>
    <w:rsid w:val="0057440D"/>
    <w:rsid w:val="00577627"/>
    <w:rsid w:val="0057787F"/>
    <w:rsid w:val="00577BD5"/>
    <w:rsid w:val="00577BDA"/>
    <w:rsid w:val="00583349"/>
    <w:rsid w:val="00584C52"/>
    <w:rsid w:val="005856ED"/>
    <w:rsid w:val="005871DE"/>
    <w:rsid w:val="00595894"/>
    <w:rsid w:val="005A0A0D"/>
    <w:rsid w:val="005A1213"/>
    <w:rsid w:val="005A13D4"/>
    <w:rsid w:val="005A1629"/>
    <w:rsid w:val="005A31D5"/>
    <w:rsid w:val="005A3887"/>
    <w:rsid w:val="005A49C6"/>
    <w:rsid w:val="005B36DA"/>
    <w:rsid w:val="005B3CA5"/>
    <w:rsid w:val="005C1B97"/>
    <w:rsid w:val="005C298B"/>
    <w:rsid w:val="005C2F90"/>
    <w:rsid w:val="005C5788"/>
    <w:rsid w:val="005C60F9"/>
    <w:rsid w:val="005D44E5"/>
    <w:rsid w:val="005D6E00"/>
    <w:rsid w:val="005E0F71"/>
    <w:rsid w:val="005E106F"/>
    <w:rsid w:val="005E1855"/>
    <w:rsid w:val="005E321B"/>
    <w:rsid w:val="005E5997"/>
    <w:rsid w:val="005E6E1D"/>
    <w:rsid w:val="005E7050"/>
    <w:rsid w:val="005F4086"/>
    <w:rsid w:val="00600FE8"/>
    <w:rsid w:val="00602AEC"/>
    <w:rsid w:val="00604E0D"/>
    <w:rsid w:val="00611033"/>
    <w:rsid w:val="00611566"/>
    <w:rsid w:val="00611A4F"/>
    <w:rsid w:val="00613452"/>
    <w:rsid w:val="00613F66"/>
    <w:rsid w:val="00622E6D"/>
    <w:rsid w:val="00624BC1"/>
    <w:rsid w:val="00625A69"/>
    <w:rsid w:val="00627569"/>
    <w:rsid w:val="00627B20"/>
    <w:rsid w:val="00631877"/>
    <w:rsid w:val="00631CDA"/>
    <w:rsid w:val="00634109"/>
    <w:rsid w:val="0064295A"/>
    <w:rsid w:val="00642D05"/>
    <w:rsid w:val="006432E7"/>
    <w:rsid w:val="006440A0"/>
    <w:rsid w:val="00644801"/>
    <w:rsid w:val="00646D99"/>
    <w:rsid w:val="006537C8"/>
    <w:rsid w:val="00655372"/>
    <w:rsid w:val="00655773"/>
    <w:rsid w:val="00656217"/>
    <w:rsid w:val="00656910"/>
    <w:rsid w:val="006572DA"/>
    <w:rsid w:val="006574C0"/>
    <w:rsid w:val="0066086F"/>
    <w:rsid w:val="00664392"/>
    <w:rsid w:val="00667093"/>
    <w:rsid w:val="00667596"/>
    <w:rsid w:val="00672061"/>
    <w:rsid w:val="00676C12"/>
    <w:rsid w:val="00680425"/>
    <w:rsid w:val="00681658"/>
    <w:rsid w:val="00684DD2"/>
    <w:rsid w:val="00685A36"/>
    <w:rsid w:val="006915AF"/>
    <w:rsid w:val="006925DD"/>
    <w:rsid w:val="00695F4A"/>
    <w:rsid w:val="00696821"/>
    <w:rsid w:val="006A1F18"/>
    <w:rsid w:val="006A5716"/>
    <w:rsid w:val="006A5DF2"/>
    <w:rsid w:val="006A604F"/>
    <w:rsid w:val="006A6CE5"/>
    <w:rsid w:val="006B2760"/>
    <w:rsid w:val="006B38B5"/>
    <w:rsid w:val="006B4104"/>
    <w:rsid w:val="006B518E"/>
    <w:rsid w:val="006B6950"/>
    <w:rsid w:val="006B77FA"/>
    <w:rsid w:val="006B7D1C"/>
    <w:rsid w:val="006C53FC"/>
    <w:rsid w:val="006C5633"/>
    <w:rsid w:val="006C66D8"/>
    <w:rsid w:val="006C79DB"/>
    <w:rsid w:val="006D199F"/>
    <w:rsid w:val="006D1E24"/>
    <w:rsid w:val="006D35DE"/>
    <w:rsid w:val="006D3737"/>
    <w:rsid w:val="006D51E2"/>
    <w:rsid w:val="006D79BE"/>
    <w:rsid w:val="006E1417"/>
    <w:rsid w:val="006E459F"/>
    <w:rsid w:val="006E6719"/>
    <w:rsid w:val="006E6F4B"/>
    <w:rsid w:val="006E777B"/>
    <w:rsid w:val="006F05F7"/>
    <w:rsid w:val="006F0C72"/>
    <w:rsid w:val="006F0CCC"/>
    <w:rsid w:val="006F250F"/>
    <w:rsid w:val="006F2D96"/>
    <w:rsid w:val="006F38B5"/>
    <w:rsid w:val="006F5791"/>
    <w:rsid w:val="006F6A2C"/>
    <w:rsid w:val="006F7750"/>
    <w:rsid w:val="006F7A1E"/>
    <w:rsid w:val="00700AFF"/>
    <w:rsid w:val="00701338"/>
    <w:rsid w:val="00701FDC"/>
    <w:rsid w:val="007020A8"/>
    <w:rsid w:val="00702939"/>
    <w:rsid w:val="00703716"/>
    <w:rsid w:val="00703FC2"/>
    <w:rsid w:val="007047F9"/>
    <w:rsid w:val="007069DC"/>
    <w:rsid w:val="00707F29"/>
    <w:rsid w:val="00710201"/>
    <w:rsid w:val="00713A55"/>
    <w:rsid w:val="00713C43"/>
    <w:rsid w:val="00714BDF"/>
    <w:rsid w:val="0072073A"/>
    <w:rsid w:val="00724239"/>
    <w:rsid w:val="007260C3"/>
    <w:rsid w:val="00727284"/>
    <w:rsid w:val="00727290"/>
    <w:rsid w:val="00730382"/>
    <w:rsid w:val="007317B0"/>
    <w:rsid w:val="007342B5"/>
    <w:rsid w:val="00734A5B"/>
    <w:rsid w:val="007366EF"/>
    <w:rsid w:val="00741E2A"/>
    <w:rsid w:val="00744D15"/>
    <w:rsid w:val="00744E36"/>
    <w:rsid w:val="00744E76"/>
    <w:rsid w:val="00745320"/>
    <w:rsid w:val="00746840"/>
    <w:rsid w:val="00747299"/>
    <w:rsid w:val="00752E18"/>
    <w:rsid w:val="00753079"/>
    <w:rsid w:val="00755CE1"/>
    <w:rsid w:val="00757D40"/>
    <w:rsid w:val="007608A8"/>
    <w:rsid w:val="00761241"/>
    <w:rsid w:val="007627BA"/>
    <w:rsid w:val="00764BE0"/>
    <w:rsid w:val="007662B5"/>
    <w:rsid w:val="007743DD"/>
    <w:rsid w:val="00775F75"/>
    <w:rsid w:val="0077660B"/>
    <w:rsid w:val="00777058"/>
    <w:rsid w:val="0078191C"/>
    <w:rsid w:val="00781F0F"/>
    <w:rsid w:val="0078727C"/>
    <w:rsid w:val="0078786A"/>
    <w:rsid w:val="0079049D"/>
    <w:rsid w:val="007917C8"/>
    <w:rsid w:val="00792C92"/>
    <w:rsid w:val="00793DC5"/>
    <w:rsid w:val="0079611F"/>
    <w:rsid w:val="007967BA"/>
    <w:rsid w:val="00797870"/>
    <w:rsid w:val="007A4524"/>
    <w:rsid w:val="007A57BB"/>
    <w:rsid w:val="007B05D2"/>
    <w:rsid w:val="007B18D8"/>
    <w:rsid w:val="007B49C8"/>
    <w:rsid w:val="007B4D3B"/>
    <w:rsid w:val="007B614E"/>
    <w:rsid w:val="007B662E"/>
    <w:rsid w:val="007C0752"/>
    <w:rsid w:val="007C095F"/>
    <w:rsid w:val="007C0C7F"/>
    <w:rsid w:val="007C2DD0"/>
    <w:rsid w:val="007C3D8D"/>
    <w:rsid w:val="007C4323"/>
    <w:rsid w:val="007C5553"/>
    <w:rsid w:val="007C6E51"/>
    <w:rsid w:val="007D01E6"/>
    <w:rsid w:val="007D19BF"/>
    <w:rsid w:val="007D1B9D"/>
    <w:rsid w:val="007D24D6"/>
    <w:rsid w:val="007D3B4A"/>
    <w:rsid w:val="007D4525"/>
    <w:rsid w:val="007D5DD6"/>
    <w:rsid w:val="007D6E7A"/>
    <w:rsid w:val="007D6FD4"/>
    <w:rsid w:val="007D7229"/>
    <w:rsid w:val="007E6C3E"/>
    <w:rsid w:val="007E749E"/>
    <w:rsid w:val="007F0968"/>
    <w:rsid w:val="007F11A9"/>
    <w:rsid w:val="007F13DF"/>
    <w:rsid w:val="007F2E08"/>
    <w:rsid w:val="007F4FF8"/>
    <w:rsid w:val="007F50DE"/>
    <w:rsid w:val="0080178A"/>
    <w:rsid w:val="008026B1"/>
    <w:rsid w:val="008028A4"/>
    <w:rsid w:val="008041D7"/>
    <w:rsid w:val="00807C6A"/>
    <w:rsid w:val="00813245"/>
    <w:rsid w:val="0081507C"/>
    <w:rsid w:val="00816F1C"/>
    <w:rsid w:val="008205E3"/>
    <w:rsid w:val="0082477C"/>
    <w:rsid w:val="008258DC"/>
    <w:rsid w:val="00825A0E"/>
    <w:rsid w:val="00827687"/>
    <w:rsid w:val="00827C5D"/>
    <w:rsid w:val="00830114"/>
    <w:rsid w:val="00835666"/>
    <w:rsid w:val="00835A93"/>
    <w:rsid w:val="008360E5"/>
    <w:rsid w:val="00837B55"/>
    <w:rsid w:val="00840B6F"/>
    <w:rsid w:val="00840D43"/>
    <w:rsid w:val="00840DE0"/>
    <w:rsid w:val="00842A5C"/>
    <w:rsid w:val="00845683"/>
    <w:rsid w:val="0085211F"/>
    <w:rsid w:val="00853388"/>
    <w:rsid w:val="00854745"/>
    <w:rsid w:val="00855005"/>
    <w:rsid w:val="0086354A"/>
    <w:rsid w:val="008649CE"/>
    <w:rsid w:val="00866F7B"/>
    <w:rsid w:val="008741F1"/>
    <w:rsid w:val="008759D0"/>
    <w:rsid w:val="008768CA"/>
    <w:rsid w:val="00877868"/>
    <w:rsid w:val="00877EF9"/>
    <w:rsid w:val="00880559"/>
    <w:rsid w:val="00881D76"/>
    <w:rsid w:val="00882851"/>
    <w:rsid w:val="0088380E"/>
    <w:rsid w:val="00883A49"/>
    <w:rsid w:val="008844DB"/>
    <w:rsid w:val="00886A47"/>
    <w:rsid w:val="00886B9F"/>
    <w:rsid w:val="00887906"/>
    <w:rsid w:val="00891CD8"/>
    <w:rsid w:val="00892162"/>
    <w:rsid w:val="00892907"/>
    <w:rsid w:val="00894948"/>
    <w:rsid w:val="008A2D2A"/>
    <w:rsid w:val="008A5371"/>
    <w:rsid w:val="008B0302"/>
    <w:rsid w:val="008B2006"/>
    <w:rsid w:val="008B31D7"/>
    <w:rsid w:val="008B447D"/>
    <w:rsid w:val="008B51F8"/>
    <w:rsid w:val="008B5306"/>
    <w:rsid w:val="008B578E"/>
    <w:rsid w:val="008B66E1"/>
    <w:rsid w:val="008B703A"/>
    <w:rsid w:val="008C0080"/>
    <w:rsid w:val="008C059E"/>
    <w:rsid w:val="008C09E4"/>
    <w:rsid w:val="008C0EC9"/>
    <w:rsid w:val="008C23FD"/>
    <w:rsid w:val="008C2E2A"/>
    <w:rsid w:val="008C3057"/>
    <w:rsid w:val="008C348F"/>
    <w:rsid w:val="008C3B1C"/>
    <w:rsid w:val="008C49F3"/>
    <w:rsid w:val="008C55C7"/>
    <w:rsid w:val="008C72CF"/>
    <w:rsid w:val="008D2E4D"/>
    <w:rsid w:val="008E06BE"/>
    <w:rsid w:val="008F126D"/>
    <w:rsid w:val="008F28C0"/>
    <w:rsid w:val="008F2F39"/>
    <w:rsid w:val="008F396F"/>
    <w:rsid w:val="008F3DCD"/>
    <w:rsid w:val="008F589A"/>
    <w:rsid w:val="008F5D9F"/>
    <w:rsid w:val="008F7091"/>
    <w:rsid w:val="009021A1"/>
    <w:rsid w:val="0090271F"/>
    <w:rsid w:val="00902DB9"/>
    <w:rsid w:val="00903517"/>
    <w:rsid w:val="0090466A"/>
    <w:rsid w:val="009130D6"/>
    <w:rsid w:val="00913987"/>
    <w:rsid w:val="00913D80"/>
    <w:rsid w:val="00915983"/>
    <w:rsid w:val="00916923"/>
    <w:rsid w:val="0091700F"/>
    <w:rsid w:val="00920E46"/>
    <w:rsid w:val="00922772"/>
    <w:rsid w:val="00922BBE"/>
    <w:rsid w:val="00923655"/>
    <w:rsid w:val="00925F47"/>
    <w:rsid w:val="009262EE"/>
    <w:rsid w:val="00930291"/>
    <w:rsid w:val="00934701"/>
    <w:rsid w:val="00935436"/>
    <w:rsid w:val="00936071"/>
    <w:rsid w:val="00936F89"/>
    <w:rsid w:val="009376CD"/>
    <w:rsid w:val="00940212"/>
    <w:rsid w:val="009414B4"/>
    <w:rsid w:val="00941C21"/>
    <w:rsid w:val="00942CB1"/>
    <w:rsid w:val="00942EC2"/>
    <w:rsid w:val="00944998"/>
    <w:rsid w:val="00945A5E"/>
    <w:rsid w:val="00946B7C"/>
    <w:rsid w:val="00951917"/>
    <w:rsid w:val="00953B80"/>
    <w:rsid w:val="00954241"/>
    <w:rsid w:val="009555A7"/>
    <w:rsid w:val="00957D77"/>
    <w:rsid w:val="00961B32"/>
    <w:rsid w:val="00962509"/>
    <w:rsid w:val="00964568"/>
    <w:rsid w:val="00965EFF"/>
    <w:rsid w:val="00967172"/>
    <w:rsid w:val="00970DB3"/>
    <w:rsid w:val="00971169"/>
    <w:rsid w:val="00972AA4"/>
    <w:rsid w:val="0097318C"/>
    <w:rsid w:val="00973CDC"/>
    <w:rsid w:val="00974BB0"/>
    <w:rsid w:val="00975BCD"/>
    <w:rsid w:val="0097619A"/>
    <w:rsid w:val="00976EAD"/>
    <w:rsid w:val="00977956"/>
    <w:rsid w:val="009837AE"/>
    <w:rsid w:val="00987476"/>
    <w:rsid w:val="00990226"/>
    <w:rsid w:val="009911F9"/>
    <w:rsid w:val="009928A9"/>
    <w:rsid w:val="009933FF"/>
    <w:rsid w:val="00995095"/>
    <w:rsid w:val="00997C4E"/>
    <w:rsid w:val="009A0AF3"/>
    <w:rsid w:val="009A266B"/>
    <w:rsid w:val="009A48BA"/>
    <w:rsid w:val="009B07CB"/>
    <w:rsid w:val="009B07CD"/>
    <w:rsid w:val="009B172A"/>
    <w:rsid w:val="009B1CAF"/>
    <w:rsid w:val="009C0FE7"/>
    <w:rsid w:val="009C19E9"/>
    <w:rsid w:val="009C547C"/>
    <w:rsid w:val="009C57D9"/>
    <w:rsid w:val="009C7F6F"/>
    <w:rsid w:val="009D06F5"/>
    <w:rsid w:val="009D0C32"/>
    <w:rsid w:val="009D1EFF"/>
    <w:rsid w:val="009D2DC6"/>
    <w:rsid w:val="009D38A5"/>
    <w:rsid w:val="009D3F12"/>
    <w:rsid w:val="009D523E"/>
    <w:rsid w:val="009D74A6"/>
    <w:rsid w:val="009D7E3F"/>
    <w:rsid w:val="009E0E87"/>
    <w:rsid w:val="009E15DD"/>
    <w:rsid w:val="009E41A6"/>
    <w:rsid w:val="009E5C6D"/>
    <w:rsid w:val="009E73AC"/>
    <w:rsid w:val="009E7D87"/>
    <w:rsid w:val="009F2DE2"/>
    <w:rsid w:val="009F45AE"/>
    <w:rsid w:val="009F728C"/>
    <w:rsid w:val="00A02ACB"/>
    <w:rsid w:val="00A05C67"/>
    <w:rsid w:val="00A06F66"/>
    <w:rsid w:val="00A078D1"/>
    <w:rsid w:val="00A07EE0"/>
    <w:rsid w:val="00A10668"/>
    <w:rsid w:val="00A10F02"/>
    <w:rsid w:val="00A126AC"/>
    <w:rsid w:val="00A203BA"/>
    <w:rsid w:val="00A204CA"/>
    <w:rsid w:val="00A209D6"/>
    <w:rsid w:val="00A22738"/>
    <w:rsid w:val="00A22BDD"/>
    <w:rsid w:val="00A237DE"/>
    <w:rsid w:val="00A25DDC"/>
    <w:rsid w:val="00A26CB1"/>
    <w:rsid w:val="00A347F9"/>
    <w:rsid w:val="00A41F31"/>
    <w:rsid w:val="00A43F4E"/>
    <w:rsid w:val="00A45BE0"/>
    <w:rsid w:val="00A46477"/>
    <w:rsid w:val="00A47A1E"/>
    <w:rsid w:val="00A50389"/>
    <w:rsid w:val="00A527D4"/>
    <w:rsid w:val="00A53724"/>
    <w:rsid w:val="00A543A1"/>
    <w:rsid w:val="00A54B2B"/>
    <w:rsid w:val="00A56B26"/>
    <w:rsid w:val="00A5761E"/>
    <w:rsid w:val="00A61C33"/>
    <w:rsid w:val="00A61EE0"/>
    <w:rsid w:val="00A63699"/>
    <w:rsid w:val="00A649C7"/>
    <w:rsid w:val="00A670D4"/>
    <w:rsid w:val="00A717E5"/>
    <w:rsid w:val="00A71FEC"/>
    <w:rsid w:val="00A76712"/>
    <w:rsid w:val="00A81405"/>
    <w:rsid w:val="00A82346"/>
    <w:rsid w:val="00A83092"/>
    <w:rsid w:val="00A83D87"/>
    <w:rsid w:val="00A84308"/>
    <w:rsid w:val="00A855FF"/>
    <w:rsid w:val="00A9497F"/>
    <w:rsid w:val="00A9671C"/>
    <w:rsid w:val="00AA1553"/>
    <w:rsid w:val="00AA4218"/>
    <w:rsid w:val="00AA7967"/>
    <w:rsid w:val="00AB126E"/>
    <w:rsid w:val="00AC0AB4"/>
    <w:rsid w:val="00AC254C"/>
    <w:rsid w:val="00AD1275"/>
    <w:rsid w:val="00AD1A2A"/>
    <w:rsid w:val="00AD3DF3"/>
    <w:rsid w:val="00AD5588"/>
    <w:rsid w:val="00AE1563"/>
    <w:rsid w:val="00AE196D"/>
    <w:rsid w:val="00AE308D"/>
    <w:rsid w:val="00AE48E4"/>
    <w:rsid w:val="00AE5DD5"/>
    <w:rsid w:val="00AE74C5"/>
    <w:rsid w:val="00AF2929"/>
    <w:rsid w:val="00AF2B04"/>
    <w:rsid w:val="00AF62F9"/>
    <w:rsid w:val="00AF6DA2"/>
    <w:rsid w:val="00B0254D"/>
    <w:rsid w:val="00B05380"/>
    <w:rsid w:val="00B05962"/>
    <w:rsid w:val="00B100E1"/>
    <w:rsid w:val="00B11317"/>
    <w:rsid w:val="00B120F8"/>
    <w:rsid w:val="00B13371"/>
    <w:rsid w:val="00B137DD"/>
    <w:rsid w:val="00B15449"/>
    <w:rsid w:val="00B16C2F"/>
    <w:rsid w:val="00B17729"/>
    <w:rsid w:val="00B24288"/>
    <w:rsid w:val="00B25B08"/>
    <w:rsid w:val="00B25DBA"/>
    <w:rsid w:val="00B26008"/>
    <w:rsid w:val="00B27303"/>
    <w:rsid w:val="00B30854"/>
    <w:rsid w:val="00B33179"/>
    <w:rsid w:val="00B347DA"/>
    <w:rsid w:val="00B360A4"/>
    <w:rsid w:val="00B374D5"/>
    <w:rsid w:val="00B44246"/>
    <w:rsid w:val="00B476A7"/>
    <w:rsid w:val="00B47C77"/>
    <w:rsid w:val="00B47FD1"/>
    <w:rsid w:val="00B513DF"/>
    <w:rsid w:val="00B516BB"/>
    <w:rsid w:val="00B544D7"/>
    <w:rsid w:val="00B54AF7"/>
    <w:rsid w:val="00B5537B"/>
    <w:rsid w:val="00B57765"/>
    <w:rsid w:val="00B60656"/>
    <w:rsid w:val="00B673D7"/>
    <w:rsid w:val="00B758C7"/>
    <w:rsid w:val="00B76553"/>
    <w:rsid w:val="00B805A3"/>
    <w:rsid w:val="00B80AFC"/>
    <w:rsid w:val="00B81F0C"/>
    <w:rsid w:val="00B837C4"/>
    <w:rsid w:val="00B8454A"/>
    <w:rsid w:val="00B84DB2"/>
    <w:rsid w:val="00B90019"/>
    <w:rsid w:val="00B9011C"/>
    <w:rsid w:val="00B9163E"/>
    <w:rsid w:val="00B92731"/>
    <w:rsid w:val="00B93C6C"/>
    <w:rsid w:val="00B94609"/>
    <w:rsid w:val="00BA02ED"/>
    <w:rsid w:val="00BA0666"/>
    <w:rsid w:val="00BA0D3A"/>
    <w:rsid w:val="00BA21B1"/>
    <w:rsid w:val="00BA425F"/>
    <w:rsid w:val="00BA71FF"/>
    <w:rsid w:val="00BA73D2"/>
    <w:rsid w:val="00BA7621"/>
    <w:rsid w:val="00BA76C0"/>
    <w:rsid w:val="00BB07FE"/>
    <w:rsid w:val="00BB17EE"/>
    <w:rsid w:val="00BB1B6E"/>
    <w:rsid w:val="00BB3F6B"/>
    <w:rsid w:val="00BB43E4"/>
    <w:rsid w:val="00BB7B82"/>
    <w:rsid w:val="00BC1FB0"/>
    <w:rsid w:val="00BC25B4"/>
    <w:rsid w:val="00BC3555"/>
    <w:rsid w:val="00BC3990"/>
    <w:rsid w:val="00BC69BC"/>
    <w:rsid w:val="00BC78DE"/>
    <w:rsid w:val="00BD08FA"/>
    <w:rsid w:val="00BD0F4D"/>
    <w:rsid w:val="00BD3381"/>
    <w:rsid w:val="00BD36D7"/>
    <w:rsid w:val="00BD5CE2"/>
    <w:rsid w:val="00BD6FC0"/>
    <w:rsid w:val="00BD70CD"/>
    <w:rsid w:val="00BD70D4"/>
    <w:rsid w:val="00BE033E"/>
    <w:rsid w:val="00BE0B03"/>
    <w:rsid w:val="00BE0C1C"/>
    <w:rsid w:val="00BE0F97"/>
    <w:rsid w:val="00BF00C7"/>
    <w:rsid w:val="00BF5643"/>
    <w:rsid w:val="00BF7762"/>
    <w:rsid w:val="00C00A88"/>
    <w:rsid w:val="00C00FFF"/>
    <w:rsid w:val="00C0573C"/>
    <w:rsid w:val="00C05C32"/>
    <w:rsid w:val="00C0789E"/>
    <w:rsid w:val="00C1054B"/>
    <w:rsid w:val="00C12B51"/>
    <w:rsid w:val="00C14034"/>
    <w:rsid w:val="00C156A5"/>
    <w:rsid w:val="00C16247"/>
    <w:rsid w:val="00C24650"/>
    <w:rsid w:val="00C25465"/>
    <w:rsid w:val="00C272AB"/>
    <w:rsid w:val="00C30B26"/>
    <w:rsid w:val="00C316D9"/>
    <w:rsid w:val="00C31A2A"/>
    <w:rsid w:val="00C33079"/>
    <w:rsid w:val="00C3471D"/>
    <w:rsid w:val="00C34918"/>
    <w:rsid w:val="00C34C5F"/>
    <w:rsid w:val="00C4158F"/>
    <w:rsid w:val="00C42A6E"/>
    <w:rsid w:val="00C42FF2"/>
    <w:rsid w:val="00C43883"/>
    <w:rsid w:val="00C44A6F"/>
    <w:rsid w:val="00C4659F"/>
    <w:rsid w:val="00C47968"/>
    <w:rsid w:val="00C5133E"/>
    <w:rsid w:val="00C5224D"/>
    <w:rsid w:val="00C52ED4"/>
    <w:rsid w:val="00C57FF7"/>
    <w:rsid w:val="00C61AC9"/>
    <w:rsid w:val="00C64B8B"/>
    <w:rsid w:val="00C6553E"/>
    <w:rsid w:val="00C70D5B"/>
    <w:rsid w:val="00C7159F"/>
    <w:rsid w:val="00C72377"/>
    <w:rsid w:val="00C72617"/>
    <w:rsid w:val="00C736A5"/>
    <w:rsid w:val="00C7466B"/>
    <w:rsid w:val="00C777E1"/>
    <w:rsid w:val="00C815F2"/>
    <w:rsid w:val="00C826ED"/>
    <w:rsid w:val="00C8395F"/>
    <w:rsid w:val="00C83A13"/>
    <w:rsid w:val="00C87591"/>
    <w:rsid w:val="00C9068C"/>
    <w:rsid w:val="00C92967"/>
    <w:rsid w:val="00C951AE"/>
    <w:rsid w:val="00C96AA9"/>
    <w:rsid w:val="00C96D4C"/>
    <w:rsid w:val="00CA1C1D"/>
    <w:rsid w:val="00CA2759"/>
    <w:rsid w:val="00CA3D0C"/>
    <w:rsid w:val="00CA654B"/>
    <w:rsid w:val="00CB17DF"/>
    <w:rsid w:val="00CB28CA"/>
    <w:rsid w:val="00CB468C"/>
    <w:rsid w:val="00CB5F30"/>
    <w:rsid w:val="00CB6268"/>
    <w:rsid w:val="00CB72B8"/>
    <w:rsid w:val="00CC1944"/>
    <w:rsid w:val="00CC7DF2"/>
    <w:rsid w:val="00CD0229"/>
    <w:rsid w:val="00CD0C59"/>
    <w:rsid w:val="00CD3DDC"/>
    <w:rsid w:val="00CD4C7B"/>
    <w:rsid w:val="00CD55B4"/>
    <w:rsid w:val="00CD58FE"/>
    <w:rsid w:val="00CD7FBD"/>
    <w:rsid w:val="00CE0740"/>
    <w:rsid w:val="00CE1C3A"/>
    <w:rsid w:val="00CE42F0"/>
    <w:rsid w:val="00CE55BF"/>
    <w:rsid w:val="00CF6092"/>
    <w:rsid w:val="00CF7072"/>
    <w:rsid w:val="00D05A56"/>
    <w:rsid w:val="00D075E5"/>
    <w:rsid w:val="00D12850"/>
    <w:rsid w:val="00D12D42"/>
    <w:rsid w:val="00D16639"/>
    <w:rsid w:val="00D16E46"/>
    <w:rsid w:val="00D205E1"/>
    <w:rsid w:val="00D223D5"/>
    <w:rsid w:val="00D2536E"/>
    <w:rsid w:val="00D320AF"/>
    <w:rsid w:val="00D33BE3"/>
    <w:rsid w:val="00D34684"/>
    <w:rsid w:val="00D362EF"/>
    <w:rsid w:val="00D3792D"/>
    <w:rsid w:val="00D41854"/>
    <w:rsid w:val="00D41D3A"/>
    <w:rsid w:val="00D41F56"/>
    <w:rsid w:val="00D43B6D"/>
    <w:rsid w:val="00D43D2A"/>
    <w:rsid w:val="00D45AF4"/>
    <w:rsid w:val="00D471AC"/>
    <w:rsid w:val="00D520E3"/>
    <w:rsid w:val="00D52EB9"/>
    <w:rsid w:val="00D55C7C"/>
    <w:rsid w:val="00D55E47"/>
    <w:rsid w:val="00D5612F"/>
    <w:rsid w:val="00D62E19"/>
    <w:rsid w:val="00D6327F"/>
    <w:rsid w:val="00D64541"/>
    <w:rsid w:val="00D651DC"/>
    <w:rsid w:val="00D67CD1"/>
    <w:rsid w:val="00D67E0F"/>
    <w:rsid w:val="00D706E3"/>
    <w:rsid w:val="00D728B5"/>
    <w:rsid w:val="00D73842"/>
    <w:rsid w:val="00D738D6"/>
    <w:rsid w:val="00D75C8A"/>
    <w:rsid w:val="00D77A04"/>
    <w:rsid w:val="00D77C1A"/>
    <w:rsid w:val="00D80795"/>
    <w:rsid w:val="00D83613"/>
    <w:rsid w:val="00D854BE"/>
    <w:rsid w:val="00D87E00"/>
    <w:rsid w:val="00D904A5"/>
    <w:rsid w:val="00D9134D"/>
    <w:rsid w:val="00D96D11"/>
    <w:rsid w:val="00DA113D"/>
    <w:rsid w:val="00DA1223"/>
    <w:rsid w:val="00DA2531"/>
    <w:rsid w:val="00DA2E24"/>
    <w:rsid w:val="00DA3A37"/>
    <w:rsid w:val="00DA45E1"/>
    <w:rsid w:val="00DA6B24"/>
    <w:rsid w:val="00DA7A03"/>
    <w:rsid w:val="00DB0368"/>
    <w:rsid w:val="00DB0DB8"/>
    <w:rsid w:val="00DB1818"/>
    <w:rsid w:val="00DB1A65"/>
    <w:rsid w:val="00DB648D"/>
    <w:rsid w:val="00DB7651"/>
    <w:rsid w:val="00DC309B"/>
    <w:rsid w:val="00DC3646"/>
    <w:rsid w:val="00DC3BDA"/>
    <w:rsid w:val="00DC4DA2"/>
    <w:rsid w:val="00DC5261"/>
    <w:rsid w:val="00DC6048"/>
    <w:rsid w:val="00DC638B"/>
    <w:rsid w:val="00DC7E7D"/>
    <w:rsid w:val="00DD4AF1"/>
    <w:rsid w:val="00DD51A8"/>
    <w:rsid w:val="00DE204A"/>
    <w:rsid w:val="00DE25D2"/>
    <w:rsid w:val="00DE38AE"/>
    <w:rsid w:val="00DE4F5C"/>
    <w:rsid w:val="00DE525D"/>
    <w:rsid w:val="00DE5504"/>
    <w:rsid w:val="00DE7C70"/>
    <w:rsid w:val="00DF2C00"/>
    <w:rsid w:val="00DF569E"/>
    <w:rsid w:val="00DF5704"/>
    <w:rsid w:val="00DF6373"/>
    <w:rsid w:val="00E0270C"/>
    <w:rsid w:val="00E04623"/>
    <w:rsid w:val="00E04CA0"/>
    <w:rsid w:val="00E05E93"/>
    <w:rsid w:val="00E073FE"/>
    <w:rsid w:val="00E1184A"/>
    <w:rsid w:val="00E15E7C"/>
    <w:rsid w:val="00E16A1F"/>
    <w:rsid w:val="00E17C16"/>
    <w:rsid w:val="00E208FD"/>
    <w:rsid w:val="00E23122"/>
    <w:rsid w:val="00E24884"/>
    <w:rsid w:val="00E24E38"/>
    <w:rsid w:val="00E25A24"/>
    <w:rsid w:val="00E27801"/>
    <w:rsid w:val="00E27C66"/>
    <w:rsid w:val="00E306FA"/>
    <w:rsid w:val="00E31695"/>
    <w:rsid w:val="00E32A85"/>
    <w:rsid w:val="00E372E2"/>
    <w:rsid w:val="00E37C6F"/>
    <w:rsid w:val="00E37F3C"/>
    <w:rsid w:val="00E40A14"/>
    <w:rsid w:val="00E41C12"/>
    <w:rsid w:val="00E43457"/>
    <w:rsid w:val="00E4496A"/>
    <w:rsid w:val="00E44A84"/>
    <w:rsid w:val="00E44CBB"/>
    <w:rsid w:val="00E456FB"/>
    <w:rsid w:val="00E45F95"/>
    <w:rsid w:val="00E46C08"/>
    <w:rsid w:val="00E46F6A"/>
    <w:rsid w:val="00E471CF"/>
    <w:rsid w:val="00E54AA0"/>
    <w:rsid w:val="00E56E63"/>
    <w:rsid w:val="00E604B7"/>
    <w:rsid w:val="00E6122A"/>
    <w:rsid w:val="00E62598"/>
    <w:rsid w:val="00E62835"/>
    <w:rsid w:val="00E64E5E"/>
    <w:rsid w:val="00E71F86"/>
    <w:rsid w:val="00E745FB"/>
    <w:rsid w:val="00E7621D"/>
    <w:rsid w:val="00E77645"/>
    <w:rsid w:val="00E77D77"/>
    <w:rsid w:val="00E80E20"/>
    <w:rsid w:val="00E824FB"/>
    <w:rsid w:val="00E83697"/>
    <w:rsid w:val="00E83EA3"/>
    <w:rsid w:val="00E843F0"/>
    <w:rsid w:val="00E867BB"/>
    <w:rsid w:val="00E90BFA"/>
    <w:rsid w:val="00E944C9"/>
    <w:rsid w:val="00E968FC"/>
    <w:rsid w:val="00E9696A"/>
    <w:rsid w:val="00E969D6"/>
    <w:rsid w:val="00E97FC3"/>
    <w:rsid w:val="00EA1FFB"/>
    <w:rsid w:val="00EA295E"/>
    <w:rsid w:val="00EA4744"/>
    <w:rsid w:val="00EA514E"/>
    <w:rsid w:val="00EA55FE"/>
    <w:rsid w:val="00EA66C9"/>
    <w:rsid w:val="00EA727A"/>
    <w:rsid w:val="00EB281D"/>
    <w:rsid w:val="00EB308C"/>
    <w:rsid w:val="00EB483C"/>
    <w:rsid w:val="00EB4BBB"/>
    <w:rsid w:val="00EB4FD4"/>
    <w:rsid w:val="00EC0C30"/>
    <w:rsid w:val="00EC32A1"/>
    <w:rsid w:val="00EC3A96"/>
    <w:rsid w:val="00EC45E9"/>
    <w:rsid w:val="00EC4A25"/>
    <w:rsid w:val="00ED02B3"/>
    <w:rsid w:val="00ED06C7"/>
    <w:rsid w:val="00ED1182"/>
    <w:rsid w:val="00ED1F02"/>
    <w:rsid w:val="00ED4AF1"/>
    <w:rsid w:val="00ED5DF0"/>
    <w:rsid w:val="00ED6B1C"/>
    <w:rsid w:val="00ED7292"/>
    <w:rsid w:val="00EE20EA"/>
    <w:rsid w:val="00EE2381"/>
    <w:rsid w:val="00EE4C13"/>
    <w:rsid w:val="00EE5F32"/>
    <w:rsid w:val="00EE7113"/>
    <w:rsid w:val="00EE7B5A"/>
    <w:rsid w:val="00EF4D1F"/>
    <w:rsid w:val="00EF5171"/>
    <w:rsid w:val="00EF612C"/>
    <w:rsid w:val="00EF6568"/>
    <w:rsid w:val="00EF6BBF"/>
    <w:rsid w:val="00EF7EBD"/>
    <w:rsid w:val="00F01225"/>
    <w:rsid w:val="00F01ACB"/>
    <w:rsid w:val="00F025A2"/>
    <w:rsid w:val="00F036E9"/>
    <w:rsid w:val="00F03B99"/>
    <w:rsid w:val="00F042D1"/>
    <w:rsid w:val="00F07388"/>
    <w:rsid w:val="00F1147B"/>
    <w:rsid w:val="00F12A40"/>
    <w:rsid w:val="00F136F9"/>
    <w:rsid w:val="00F15B17"/>
    <w:rsid w:val="00F170FC"/>
    <w:rsid w:val="00F2026E"/>
    <w:rsid w:val="00F2103C"/>
    <w:rsid w:val="00F21593"/>
    <w:rsid w:val="00F2210A"/>
    <w:rsid w:val="00F2327C"/>
    <w:rsid w:val="00F2378C"/>
    <w:rsid w:val="00F25F20"/>
    <w:rsid w:val="00F3106F"/>
    <w:rsid w:val="00F31321"/>
    <w:rsid w:val="00F31A8C"/>
    <w:rsid w:val="00F345EB"/>
    <w:rsid w:val="00F3513D"/>
    <w:rsid w:val="00F362F4"/>
    <w:rsid w:val="00F36A24"/>
    <w:rsid w:val="00F36A64"/>
    <w:rsid w:val="00F375FC"/>
    <w:rsid w:val="00F37743"/>
    <w:rsid w:val="00F43034"/>
    <w:rsid w:val="00F447FD"/>
    <w:rsid w:val="00F45659"/>
    <w:rsid w:val="00F47CC2"/>
    <w:rsid w:val="00F47F16"/>
    <w:rsid w:val="00F50661"/>
    <w:rsid w:val="00F50666"/>
    <w:rsid w:val="00F50F8D"/>
    <w:rsid w:val="00F51623"/>
    <w:rsid w:val="00F54A3D"/>
    <w:rsid w:val="00F54CB0"/>
    <w:rsid w:val="00F550E3"/>
    <w:rsid w:val="00F5554C"/>
    <w:rsid w:val="00F5706D"/>
    <w:rsid w:val="00F579CD"/>
    <w:rsid w:val="00F57FAF"/>
    <w:rsid w:val="00F6101F"/>
    <w:rsid w:val="00F61496"/>
    <w:rsid w:val="00F634C9"/>
    <w:rsid w:val="00F653B8"/>
    <w:rsid w:val="00F67697"/>
    <w:rsid w:val="00F67DE8"/>
    <w:rsid w:val="00F67E24"/>
    <w:rsid w:val="00F707C3"/>
    <w:rsid w:val="00F714D3"/>
    <w:rsid w:val="00F71B89"/>
    <w:rsid w:val="00F71E53"/>
    <w:rsid w:val="00F72253"/>
    <w:rsid w:val="00F723DB"/>
    <w:rsid w:val="00F7353C"/>
    <w:rsid w:val="00F756A3"/>
    <w:rsid w:val="00F75F46"/>
    <w:rsid w:val="00F76F8F"/>
    <w:rsid w:val="00F77333"/>
    <w:rsid w:val="00F81A1A"/>
    <w:rsid w:val="00F85353"/>
    <w:rsid w:val="00F86A79"/>
    <w:rsid w:val="00F9311F"/>
    <w:rsid w:val="00F93149"/>
    <w:rsid w:val="00F9349F"/>
    <w:rsid w:val="00F940BC"/>
    <w:rsid w:val="00F941DF"/>
    <w:rsid w:val="00F94600"/>
    <w:rsid w:val="00FA1266"/>
    <w:rsid w:val="00FA40F6"/>
    <w:rsid w:val="00FA542D"/>
    <w:rsid w:val="00FA7567"/>
    <w:rsid w:val="00FA7839"/>
    <w:rsid w:val="00FB0D54"/>
    <w:rsid w:val="00FB1899"/>
    <w:rsid w:val="00FB1DBB"/>
    <w:rsid w:val="00FB36FA"/>
    <w:rsid w:val="00FB4DBE"/>
    <w:rsid w:val="00FB6976"/>
    <w:rsid w:val="00FC1192"/>
    <w:rsid w:val="00FC4B96"/>
    <w:rsid w:val="00FC540F"/>
    <w:rsid w:val="00FC6027"/>
    <w:rsid w:val="00FC7D77"/>
    <w:rsid w:val="00FD04E6"/>
    <w:rsid w:val="00FD0D8E"/>
    <w:rsid w:val="00FD2174"/>
    <w:rsid w:val="00FD42DC"/>
    <w:rsid w:val="00FD4FE1"/>
    <w:rsid w:val="00FD7D8B"/>
    <w:rsid w:val="00FE0C4D"/>
    <w:rsid w:val="00FE0D38"/>
    <w:rsid w:val="00FE11D8"/>
    <w:rsid w:val="00FE251B"/>
    <w:rsid w:val="00FE68B1"/>
    <w:rsid w:val="00FE7987"/>
    <w:rsid w:val="00FF1730"/>
    <w:rsid w:val="00FF2F37"/>
    <w:rsid w:val="00FF3CDF"/>
    <w:rsid w:val="00FF43D5"/>
    <w:rsid w:val="00FF617F"/>
    <w:rsid w:val="00FF78AB"/>
    <w:rsid w:val="00FF7AD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uiPriority w:val="39"/>
    <w:qFormat/>
    <w:rsid w:val="00FE0D3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211586"/>
    <w:pPr>
      <w:spacing w:after="200"/>
    </w:pPr>
    <w:rPr>
      <w:i/>
      <w:iCs/>
      <w:color w:val="44546A" w:themeColor="text2"/>
      <w:sz w:val="18"/>
      <w:szCs w:val="18"/>
    </w:rPr>
  </w:style>
  <w:style w:type="character" w:styleId="CommentReference">
    <w:name w:val="annotation reference"/>
    <w:basedOn w:val="DefaultParagraphFont"/>
    <w:rsid w:val="00CD0229"/>
    <w:rPr>
      <w:sz w:val="16"/>
      <w:szCs w:val="16"/>
    </w:rPr>
  </w:style>
  <w:style w:type="paragraph" w:styleId="CommentText">
    <w:name w:val="annotation text"/>
    <w:basedOn w:val="Normal"/>
    <w:link w:val="CommentTextChar"/>
    <w:rsid w:val="00CD0229"/>
  </w:style>
  <w:style w:type="character" w:customStyle="1" w:styleId="CommentTextChar">
    <w:name w:val="Comment Text Char"/>
    <w:basedOn w:val="DefaultParagraphFont"/>
    <w:link w:val="CommentText"/>
    <w:rsid w:val="00CD0229"/>
    <w:rPr>
      <w:lang w:eastAsia="en-US"/>
    </w:rPr>
  </w:style>
  <w:style w:type="paragraph" w:styleId="CommentSubject">
    <w:name w:val="annotation subject"/>
    <w:basedOn w:val="CommentText"/>
    <w:next w:val="CommentText"/>
    <w:link w:val="CommentSubjectChar"/>
    <w:rsid w:val="00CD0229"/>
    <w:rPr>
      <w:b/>
      <w:bCs/>
    </w:rPr>
  </w:style>
  <w:style w:type="character" w:customStyle="1" w:styleId="CommentSubjectChar">
    <w:name w:val="Comment Subject Char"/>
    <w:basedOn w:val="CommentTextChar"/>
    <w:link w:val="CommentSubject"/>
    <w:rsid w:val="00CD0229"/>
    <w:rPr>
      <w:b/>
      <w:bCs/>
      <w:lang w:eastAsia="en-US"/>
    </w:rPr>
  </w:style>
  <w:style w:type="character" w:customStyle="1" w:styleId="ListParagraphChar">
    <w:name w:val="List Paragraph Char"/>
    <w:aliases w:val="- Bullets Char,?? ?? Char,????? Char,???? Char,Lista1 Char,中等深浅网格 1 - 着色 21 Char,¥¡¡¡¡ì¬º¥¹¥È¶ÎÂä Char,ÁÐ³ö¶ÎÂä Char,列表段落1 Char,—ño’i—Ž Char,¥ê¥¹¥È¶ÎÂä Char,1st level - Bullet List Paragraph Char,Lettre d'introduction Char,목록단락 Char"/>
    <w:link w:val="ListParagraph"/>
    <w:uiPriority w:val="34"/>
    <w:qFormat/>
    <w:locked/>
    <w:rsid w:val="00920E46"/>
    <w:rPr>
      <w:rFonts w:ascii="Calibri" w:eastAsiaTheme="minorHAnsi" w:hAnsi="Calibri" w:cs="Calibri"/>
      <w:sz w:val="22"/>
      <w:szCs w:val="22"/>
      <w:lang w:val="pl-PL"/>
    </w:rPr>
  </w:style>
  <w:style w:type="paragraph" w:styleId="ListParagraph">
    <w:name w:val="List Paragraph"/>
    <w:aliases w:val="- Bullets,?? ??,?????,????,Lista1,中等深浅网格 1 - 着色 21,¥¡¡¡¡ì¬º¥¹¥È¶ÎÂä,ÁÐ³ö¶ÎÂä,列表段落1,—ño’i—Ž,¥ê¥¹¥È¶ÎÂä,1st level - Bullet List Paragraph,Lettre d'introduction,Paragrafo elenco,Normal bullet 2,Bullet list,목록단락,列出段落1,列表段落11,列表段落,リスト段落"/>
    <w:basedOn w:val="Normal"/>
    <w:link w:val="ListParagraphChar"/>
    <w:uiPriority w:val="34"/>
    <w:qFormat/>
    <w:rsid w:val="00920E46"/>
    <w:pPr>
      <w:spacing w:after="0" w:line="256" w:lineRule="auto"/>
      <w:ind w:left="720"/>
    </w:pPr>
    <w:rPr>
      <w:rFonts w:ascii="Calibri" w:eastAsiaTheme="minorHAnsi" w:hAnsi="Calibri" w:cs="Calibri"/>
      <w:sz w:val="22"/>
      <w:szCs w:val="22"/>
      <w:lang w:val="pl-PL" w:eastAsia="en-GB"/>
    </w:rPr>
  </w:style>
  <w:style w:type="paragraph" w:styleId="Revision">
    <w:name w:val="Revision"/>
    <w:hidden/>
    <w:uiPriority w:val="99"/>
    <w:semiHidden/>
    <w:rsid w:val="00724239"/>
    <w:rPr>
      <w:lang w:eastAsia="en-US"/>
    </w:rPr>
  </w:style>
  <w:style w:type="character" w:styleId="Mention">
    <w:name w:val="Mention"/>
    <w:basedOn w:val="DefaultParagraphFont"/>
    <w:uiPriority w:val="99"/>
    <w:unhideWhenUsed/>
    <w:rsid w:val="000D5CB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95654">
      <w:bodyDiv w:val="1"/>
      <w:marLeft w:val="0"/>
      <w:marRight w:val="0"/>
      <w:marTop w:val="0"/>
      <w:marBottom w:val="0"/>
      <w:divBdr>
        <w:top w:val="none" w:sz="0" w:space="0" w:color="auto"/>
        <w:left w:val="none" w:sz="0" w:space="0" w:color="auto"/>
        <w:bottom w:val="none" w:sz="0" w:space="0" w:color="auto"/>
        <w:right w:val="none" w:sz="0" w:space="0" w:color="auto"/>
      </w:divBdr>
    </w:div>
    <w:div w:id="652026012">
      <w:bodyDiv w:val="1"/>
      <w:marLeft w:val="0"/>
      <w:marRight w:val="0"/>
      <w:marTop w:val="0"/>
      <w:marBottom w:val="0"/>
      <w:divBdr>
        <w:top w:val="none" w:sz="0" w:space="0" w:color="auto"/>
        <w:left w:val="none" w:sz="0" w:space="0" w:color="auto"/>
        <w:bottom w:val="none" w:sz="0" w:space="0" w:color="auto"/>
        <w:right w:val="none" w:sz="0" w:space="0" w:color="auto"/>
      </w:divBdr>
    </w:div>
    <w:div w:id="679042384">
      <w:bodyDiv w:val="1"/>
      <w:marLeft w:val="0"/>
      <w:marRight w:val="0"/>
      <w:marTop w:val="0"/>
      <w:marBottom w:val="0"/>
      <w:divBdr>
        <w:top w:val="none" w:sz="0" w:space="0" w:color="auto"/>
        <w:left w:val="none" w:sz="0" w:space="0" w:color="auto"/>
        <w:bottom w:val="none" w:sz="0" w:space="0" w:color="auto"/>
        <w:right w:val="none" w:sz="0" w:space="0" w:color="auto"/>
      </w:divBdr>
    </w:div>
    <w:div w:id="857887971">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551578261">
      <w:bodyDiv w:val="1"/>
      <w:marLeft w:val="0"/>
      <w:marRight w:val="0"/>
      <w:marTop w:val="0"/>
      <w:marBottom w:val="0"/>
      <w:divBdr>
        <w:top w:val="none" w:sz="0" w:space="0" w:color="auto"/>
        <w:left w:val="none" w:sz="0" w:space="0" w:color="auto"/>
        <w:bottom w:val="none" w:sz="0" w:space="0" w:color="auto"/>
        <w:right w:val="none" w:sz="0" w:space="0" w:color="auto"/>
      </w:divBdr>
    </w:div>
    <w:div w:id="2058973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5AIRPNAIUNRU-859666464-7439</_dlc_DocId>
    <_dlc_DocIdUrl xmlns="71c5aaf6-e6ce-465b-b873-5148d2a4c105">
      <Url>https://nokia.sharepoint.com/sites/c5g/e2earch/_layouts/15/DocIdRedir.aspx?ID=5AIRPNAIUNRU-859666464-7439</Url>
      <Description>5AIRPNAIUNRU-859666464-7439</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A520E54-B820-472E-BF4E-582E4CB7D6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1980</TotalTime>
  <Pages>3</Pages>
  <Words>1389</Words>
  <Characters>7235</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8607</CharactersWithSpaces>
  <SharedDoc>false</SharedDoc>
  <HyperlinkBase/>
  <HLinks>
    <vt:vector size="12" baseType="variant">
      <vt:variant>
        <vt:i4>3997726</vt:i4>
      </vt:variant>
      <vt:variant>
        <vt:i4>3</vt:i4>
      </vt:variant>
      <vt:variant>
        <vt:i4>0</vt:i4>
      </vt:variant>
      <vt:variant>
        <vt:i4>5</vt:i4>
      </vt:variant>
      <vt:variant>
        <vt:lpwstr>mailto:ping-heng.kuo@nokia.com</vt:lpwstr>
      </vt:variant>
      <vt:variant>
        <vt:lpwstr/>
      </vt:variant>
      <vt:variant>
        <vt:i4>8257567</vt:i4>
      </vt:variant>
      <vt:variant>
        <vt:i4>0</vt:i4>
      </vt:variant>
      <vt:variant>
        <vt:i4>0</vt:i4>
      </vt:variant>
      <vt:variant>
        <vt:i4>5</vt:i4>
      </vt:variant>
      <vt:variant>
        <vt:lpwstr>mailto:thomas.jacobsen@nokia-bell-labs.com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3608</cp:revision>
  <dcterms:created xsi:type="dcterms:W3CDTF">2016-08-12T03:53:00Z</dcterms:created>
  <dcterms:modified xsi:type="dcterms:W3CDTF">2020-10-22T19:33:00Z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cec49de0-bee8-4fc0-a73d-31ffefb339af</vt:lpwstr>
  </property>
</Properties>
</file>